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382" w:rsidRDefault="009E438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E4382" w:rsidRPr="009E4382" w:rsidRDefault="009E4382" w:rsidP="009E4382">
      <w:pPr>
        <w:pStyle w:val="1"/>
        <w:jc w:val="center"/>
      </w:pPr>
      <w:r w:rsidRPr="009E4382">
        <w:t>Управление имуществом предприятия ООО 'Гранит'</w:t>
      </w:r>
    </w:p>
    <w:p w:rsidR="009E4382" w:rsidRPr="00994CA9" w:rsidRDefault="009E4382" w:rsidP="009E438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7A4186" w:rsidRPr="00994CA9" w:rsidRDefault="007A4186" w:rsidP="007A418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hAnsi="Times New Roman CYR" w:cs="Times New Roman CYR"/>
          <w:sz w:val="28"/>
          <w:szCs w:val="28"/>
        </w:rPr>
      </w:pPr>
      <w:r w:rsidRPr="00994CA9">
        <w:rPr>
          <w:rFonts w:ascii="Times New Roman CYR" w:hAnsi="Times New Roman CYR" w:cs="Times New Roman CYR"/>
          <w:sz w:val="28"/>
          <w:szCs w:val="28"/>
        </w:rPr>
        <w:t>2017</w:t>
      </w:r>
    </w:p>
    <w:p w:rsidR="009E4382" w:rsidRDefault="009E438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ВВЕДЕНИЕ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Трансформация к рынку для множества предприятий сопровождается попаданием в зону хозяйственной неопределенности и высокого риска, именно имущество предоставляет гарантию независимости и надежности предприятия. Большая часть хозяйствующих субъектов стало перед необходимостью объективной оценки собственных активов.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Эффективная деятельность предприятий, стабильные темпы и конкурентоспособность определяются уровнем управления имуществом предприятия и источниками его формирования.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Объектом исследования является состояние ООО «ГРАНИТ».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Предметом исследования является процесс управления имуществом ООО «ГРАНИТ».</w:t>
      </w:r>
    </w:p>
    <w:p w:rsidR="00534B10" w:rsidRPr="00994CA9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Целью данной работы является изучение системы управления имуществом ООО «ГРАНИТ» и источниками его формирования; исследование состава имущества предприятия с точки зрения эффективности его использования для выявления его потенциала, а также предложить пути улучшения имущественного потенциала ООО «ГРАНИТ». </w:t>
      </w:r>
    </w:p>
    <w:p w:rsidR="00A912CE" w:rsidRPr="00A912CE" w:rsidRDefault="00CB3BD2" w:rsidP="00A912CE">
      <w:pPr>
        <w:rPr>
          <w:rFonts w:eastAsiaTheme="minorHAnsi" w:cstheme="minorBidi"/>
          <w:b/>
          <w:sz w:val="32"/>
          <w:szCs w:val="32"/>
          <w:lang w:eastAsia="en-US"/>
        </w:rPr>
      </w:pPr>
      <w:hyperlink r:id="rId7" w:history="1">
        <w:r w:rsidR="00A912CE" w:rsidRPr="00A912CE">
          <w:rPr>
            <w:rFonts w:ascii="Calibri" w:eastAsia="Calibri" w:hAnsi="Calibri"/>
            <w:b/>
            <w:color w:val="0563C1"/>
            <w:sz w:val="32"/>
            <w:szCs w:val="32"/>
            <w:u w:val="single"/>
            <w:lang w:eastAsia="en-US"/>
          </w:rPr>
          <w:t>Вернуться в каталог дипломов по менеджменту</w:t>
        </w:r>
      </w:hyperlink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Достижение поставленной цели обеспечивается решением следующих задач: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Теоретическое изучение основ анализа имущества предприятия;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Дать анализ системы управления имуществом на ООО «ГРАНИТ»;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Дать краткую характеристику объекта исследования;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Дать общую оценку имущества предприятия по данным актива баланса;</w:t>
      </w:r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FFFFFF"/>
          <w:sz w:val="28"/>
          <w:szCs w:val="28"/>
        </w:rPr>
        <w:t xml:space="preserve">имущество </w:t>
      </w:r>
      <w:proofErr w:type="spellStart"/>
      <w:r>
        <w:rPr>
          <w:rFonts w:ascii="Times New Roman CYR" w:hAnsi="Times New Roman CYR" w:cs="Times New Roman CYR"/>
          <w:color w:val="FFFFFF"/>
          <w:sz w:val="28"/>
          <w:szCs w:val="28"/>
        </w:rPr>
        <w:t>внеоборотный</w:t>
      </w:r>
      <w:proofErr w:type="spellEnd"/>
      <w:r>
        <w:rPr>
          <w:rFonts w:ascii="Times New Roman CYR" w:hAnsi="Times New Roman CYR" w:cs="Times New Roman CYR"/>
          <w:color w:val="FFFFFF"/>
          <w:sz w:val="28"/>
          <w:szCs w:val="28"/>
        </w:rPr>
        <w:t xml:space="preserve"> актив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Дать оценку оборотных активов;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Дать рекомендации по совершенствованию методики анализа и использования основных средств;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Рассчитать оптимальный размер заказа;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Предложить ряд мероприятий по усилению контроля за дебиторской задолженностью;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Предложить ряд обоснованных решений по эффективному управлению денежными потоками.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 написании работы были использованы книги, статьи и монографии по теме управление имуществом предприятия, а также ряд законодательных и нормативных актов по соответствующей теме.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Основные методы исследования: сравнение, группировка.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Дипломная работа состоит из введения, трех глав, заключения, перечня списка использованной литературы и приложений.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первой главе дипломной работы представлены теоретические основы управления имуществом предприятия. Здесь раскрывается сущность, состав, классификация имущества, а также рассматриваются элементы управления имуществом предприятия.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Вторая глава посвящена анализу системы управления имуществом ООО «ГРАНИТ». Ряд мероприятий по улучшению управления имущественного потенциала предприятия.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третьей главе рассмотрены пути улучшения имущественного потенциала предприятия.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sz w:val="28"/>
          <w:szCs w:val="28"/>
        </w:rPr>
        <w:lastRenderedPageBreak/>
        <w:t>1.ТЕОРЕТИЧЕСКИЕ ОСНОВЫ АНАЛИЗА СОСТОЯНИЯ ИМУЩЕСТВА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1.1 Экономическое содержание имущества предприятия, его состав и структура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Предприятие рассматривается как независимая материальная совокупность, которая может быть охарактеризована с позиции имеющего у него потенциала, понимаемого как совокупность ресурсов и обязательств предприятия. Оно может увеличивается в процессе производственной и хозяйственной деятельности. Так же может отчуждаться, закладываться и т.п.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Имущество производства обособлено от имущества его учредителей, участников и работников. Оно отвечает по своим долгам, принадлежащим ему имуществом, в случае невыполнения предприятием каких-либо обязательств могут быть обращены иски партнеров или кредиторов.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стоимостном выражении в состав характеризуют имущественное и финансовое состояние предприятия. Финансовое состояние предприятия определяется способностью финансировать свою деятельность за счет имеющихся собственных, заемных и привлеченных средств.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Финансовое состояние предприятия может быть абсолютно устойчивым, нормально устойчивым, неустойчивым и кризисным.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Если величина материально-производственных запасов меньше суммы собственных оборотных средств и банковских кредитов, то абсолютная финансовая устойчивость имеет место в финансовом состоянии предприятия.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Нормальная финансовая устойчивость выражается равенством между величиной материально-производственных запасов и суммой собственных средств и кредитов.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Просрочка платежей по оплате труда, ссудам банков, поставщиками, бюджету, внебюджетным фондам и др. обеспечивается за счет равновесия платежного баланса.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Неустойчивое финансовое положение может привести к нарушению платежеспособности организации. Сохраняется возможность восстановления равновесия между платежными средствами и платежными обязательствами за счет использования средств, ослабляющих финансовую напряженность.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Пути восстановления устойчивости финансового состояния: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а) быстрая оборачиваемости капитала;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б) обоснованного уменьшения запасов и затрат;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в) собственное пополнения оборотного капитала за счет внутренних и внешних источников.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При кризисном финансовом состояние организация находится на грани банкротства. Сумма собственных оборотных средств и кредитов меньше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величины материально-производственных запасов.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Финансовое состояние предприятия зависит от результатов его деятельности. Экономическое состояние предприятия будет все более усиливаться при успешном выполнении планов производства и осуществлении продукции, снижении ее себестоимости, возрастании массы получаемой прибыли, умелом размещении оборотного капитала и т.д.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Характеристики, определяющие структуру капитала предприятия по его размещению и источникам образования, так же эффективности и интенсивности использования, платежеспособности и кредитоспособности и запаса его финансовой устойчивости используются для оценки финансового состояния.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анализе финансового состояния заинтересованы самые различные пользователи экономической информации: органы государственного управления; налоговые, правоохранительные и контролирующие органы; акционеры и другие собственники предприятия; потенциальные инвесторы; деловые партнеры; фондовые биржи; арбитражные суды; независимые аудиторы и т.п.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 основным задачам комплексного анализа финансового состояния предприятия относятся: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исследование рентабельности и финансовой устойчивости предприятия;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оценка капитала вложенного в имущество предприятия;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оценка платежеспособности и ликвидности предприятия;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анализ деловой активности предприятия;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определение эффективности использования финансовых ресурсов.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Самыми главными источниками информации для анализа финансового состояния предприятия являются ф. № 1 «Бухгалтерский баланс», ф. № П-2 «Сведения об инвестициях», ф. № П-3 «Сведения о финансовом состоянии организации» и другие формы отчетности, данные первичного бухгалтерского учета, которые расшифровывают и детализируют отдельные статьи баланса.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Содержание и состав доходов и расходов определено Положениями РФ по бухгалтерском учету: ПБУ 9/99 «Доходы организации» и ПБУ 10/99 «Расходы организаций».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Повышение финансовых выгод в результате поступления активов (денежных средств и иного имущества) или погашения обязательств, приводящие к повышению денежных средств организации (не входят вклады участников в уставной капитал) являются так же доходами организации.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Доходы классифицируются на четыре группы: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налоги, взимаемые от фонда оплаты труда, прямые налоги, прирост капитала, платежи за пользование природными ресурсами, налоги на имущество, налоги на товары и услуги, лицензионные и регистрационные сборы, налоги на внешнюю торговлю и внешнеэкономические операции и иные виды налогов, пошлин;;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«неналоговые доходы» включают: доходы от имущества, которое находится в собственности муниципальной или государственной; административные платежи и сборы; штрафные санкции, возмещение ущерба; доходы от реализации имущества, которое находилось в муниципальной или государственной собственности; доходы от продажи земли и нематериальных активов; доходы от внешнеэкономической деятельности; поступление капитальных трансфертов из негосударственных источников и др.;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«безвозмездные перечисления»- перечисления от государственных предприятий, от государственных внебюджетных фондов, от нерезидентов, от бюджетов других уровней, от наднациональных организаций;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«перечисления от государственных бюджетных фондов»-дорожный и экологический фонды..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Расходами организации включают в себя уменьшение экономических выгод в результате выбытия активов (имущества, денежных средств).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Расходами организации включают в себя уменьшение экономических выгод в результате выбытия активов (имущества, денежных средств).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Не является расходами организации приобретение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внеоборотных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активов, вложения в уставной капитал других организаций, приобретение акций, перечисление средств и взносов и т.п. Затраты также классифицируются на четыре группы: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затраты по обычным видам деятельности;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операционные затраты;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внереализационные затраты;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чрезвычайные затраты.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отчете о прибылях и убытках существуют правила для расходов: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Полученный доход соответствует расходам.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Распределения расходов между отчетными периодами.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Расходы признанные в отчетном периоде от предыдущих правил, по которым можно утверждать о неполучение экономических выгод (доходов).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.2 Понятие, значение и задачи анализа состояния имущества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Несмотря на широкое применение термина «имущество» в юридической и экономической областях, действующее законодательство, в том числе и гражданское, не содержит определение «имущество».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Термин «имущество» с юридической точки зрения связан с определением собственности как возможность владения совокупностью предметов, прав и обязанностей физическим или юридическим лицом, государством или муниципальным образованием. Другими словами, имущество-это объект чьей-либо собственности. Переход с одной личности к другой и обязанностей при наследовании и ликвидации юридических лиц вследствие реорганизации.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Юридический подход так же рассматривает имущества с позиции формы собственности.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Различают следующие виды имущества: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личное имущество;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имущество государственного предприятия;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имущество индивидуального предприятия;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имущество муниципального предприятия;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имущество акционерного общества;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имущество полного товарищества;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имущество производственного кооператива;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имущество товарищества с ограниченной ответственностью;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имущество некоммерческой организации и др.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"Имущество личное (домашнее) накопленное - часть собственного национального богатства населения предназначенного для удовлетворения его потребностей". За определенный период времени оно образуется путем накопления части национального дохода в результате превышения объема поступления материальных благ населению.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Имущество государственного предприятия находится в собственности фонда государственного имущества и формирует бюджетные ассигнования и (или) вклады других государственных предприятий, полученных доходов, других законных источников.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 экономической точки зрения обобщение определений "имущества предприятия", предложенных различными источниками, позволило нам интерпретировать как совокупность предметов, необходимых для осуществления финансово-хозяйственной деятельности и находящихся в собственности предприятия. Отсюда вытекает экономическая трактовка понятия из юридической, но акцент внимание заострен на составе имущества и на проблеме его использования, а не на форме собственности.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две группы разделяется имущество предприятия: движимое и недвижимое. Согласно статье 130 Гражданского кодекса Российской Федерации, к недвижимым вещам относятся аграрные зоны, зоны недр и все, то что основательно связано с землей, то есть объекты, передвижение которых без несоразмерного ущерба их назначению невозможно, в том числе здания, сооружения, объекты незавершенного строительства. К движимым вещам относятся деньги и ценные бумаги, а также все остальные вещи, которые не отнесены к законом к недвижимости- это паи, вклады, доли в капитале, музейные предметы и коллекции и прочее. Современные российские экономисты придерживаются различных точек зрения в вопросе определения движимого имущества. Это объясняется появлением сравнительно новых видов активов для российской экономики (ценных бумаг, нематериальных активов).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 практике отсутствие единого перечня ценностей, входящих в понятие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"имущество предприятия" приводит к определенным сложностям. Разработки работников бухгалтерской и финансовой служб предприятия обоснованных управленческих решений необходима не только достоверная информация по интересующему вопросу и единая терминология.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статье "Баланс и финансовое положение: новые подходы к анализу" определил активы как стоимость имущества и долговых прав, которыми располагает и которые контролирует предприятие на отчетную дату.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Материальное и экономическое состояние предприятия, а также результаты его деятельности отражаются в одной из конфигураций финансовой отчетности - бухгалтерском балансе, согласно Международным бухгалтерским стандартам. В активе имущество отражается, сгруппированное по составу и размещению; в пассиве рассматриваются источники образования имущества. Составляющими элементами имущества предприятия являются активы, то есть имущество - это актив бухгалтерского баланса с позиции Международного стандарта учета № 5 "Информация, подлежащая отражению в финансовой отчетности".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Необходимо отметить неразрывность понятия; "имущество" с понятием "капитал". Капитал (первоначально - главное имущество, главная сумма) - стоимость, приносящая прибавочную стоимость, то есть самовозрастает. Капитал все же существует и функционирует в различных формах. "Капитал - в широком смысле это все, что приносит доход. В более узком смысле, это работающий источник дохода, вложенный в дело, в виде средств предприятия.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Капитал рассматривается как зеркальное отражение имущества предприятия, то есть как источник формирования имущества в бухгалтерском учете.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Предметом этого учета является хозяйственная деятельность предприятий, организаций и учреждений.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 целью реализации хозяйственной деятельности предприятия, организации и учреждения должны иметь имущество как основные средства, сырье и материалы, топливо и т.п. По другим причинам имущество поступившее, приобретенное или созданное является объектом бухгалтерского учета (его нужно учитывать по видам имущества, местам хранения, материально ответственным лицам 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др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).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Формирование имущества в хозяйствах происходит за счет различных источников. Такими источниками в коммерческих организациях являются вклады учредителей, кредиты банка, займы, собственная прибыль и др. Различные источники формирования имущества также являются объектами учета. Имущество, на праве хозяйственного ведения или оперативного управления, переданное на баланс государственными или муниципальными органами используют в основном унитарные предприятия.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Хозяйственная деятельность организации включает в себя процессы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снабжение (закупка сырья, материалов и т.д.), производство готовой продукции, продажа готовой продукции.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Имущество организации, источники его формирования, обязательства и хозяйственные операции, осуществляемые в процессе хозяйственной деятельности- это объекты бухгалтерского учета.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.3 Нормативно-правовое регулирования имущества предприятия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Основным нормативно-правовым актом, регулирующим имущественные и в целом хозяйственные отношения предприятий в России, является Хозяйственный Кодекс [1].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Собственность предприятия оформляют производственные и непроизводственные фонды, а также другие ценности, стоимость которых отображается в самостоятельном балансе предприятия, Согласно статье 66 Кодекса.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обстоятельствах и в режиме, определенных Кодексом и законами, общепринятыми в соответствии с ним, целостный имущественный комплекс предприятия признается недвижимостью и может быть объектом купли-продажи и других соглашений.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случаях, предусмотренных законом, на льготных условиях, владение и пользование природными ресурсами предприятие осуществляет за плату в установленном законодательством порядке, а Государство гарантирует защиту имущественных прав предприятия.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Изъятие имущества у предприятия осуществляется лишь в случаях и порядке, предусмотренных законом.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Участники организации предприятий имеют все шансы вносить материальные вклады (вступительные, членские, целевые и тому подобное) на условиях и в порядке, предусмотренных его учредительными документами, согласно статье 123 Кодекса имущественные отношения при объединении предприятий.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основе учредительного договора или решения об образовании объединения, имущество передается в хозяйственное ведение или в оперативное управление . Стоимость имущества объединения отображается в его балансе.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Хозяйственное объединение имеет право образовывать унитарные предприятия, филиалы, представительства, а также быть участником (основателем) хозяйственных обществ.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случае если иное не предусмотрено учредительным соглашением или уставом соединения предприятий ни как не соответствует обязанностям его участников, а предприятия-участники не отвечают согласно обязанностям предприятия.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Базу законного порядка собственности субъектов ведения хозяйств, в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какой основывается их хозяйственная деятельность, оформляют возможность имущества и прочие вещевые права- возможность хозяйственного ведения, возможность своевременного управления, согласовано со статьей 133.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Хозяйственная деятельность предусмотрено Гражданским кодексом России, может осуществляться также на основе других прав владения, прав пользования и тому подобное.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соответствии с условиями договора с владельцем Имущества, имущество субъектов ведения хозяйства может быть закреплено на другом праве 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.4 Основные методы, используемые при оценке состава и структуры имущества предприятия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Финансовое состояние предприятия и его устойчивость в значительной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степени зависят от того, какой доход они ему приносят, в какие активы вложен капитал и каким имуществом располагает предприятие.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Каждый вид размещенного капитала соответствует определенной статье активе баланса, имеющегося в распоряжении предприятия. Можно установить по этим данным: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) какую часть составляет недвижимость предприятия;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) какие изменения произошли в активах предприятия;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) а какую - оборотные средства, в том числе в сфере производства и сфере обращения.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Рассмотрим группировку активов предприятия согласно таблицы 1.1.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1.1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Группировка активов предприятия</w:t>
      </w:r>
    </w:p>
    <w:tbl>
      <w:tblPr>
        <w:tblW w:w="0" w:type="auto"/>
        <w:tblInd w:w="6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868"/>
        <w:gridCol w:w="3829"/>
        <w:gridCol w:w="230"/>
        <w:gridCol w:w="230"/>
      </w:tblGrid>
      <w:tr w:rsidR="00534B10">
        <w:tc>
          <w:tcPr>
            <w:tcW w:w="3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Внеоборотные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активы</w:t>
            </w:r>
          </w:p>
        </w:tc>
        <w:tc>
          <w:tcPr>
            <w:tcW w:w="3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Основные средства</w:t>
            </w:r>
          </w:p>
        </w:tc>
        <w:tc>
          <w:tcPr>
            <w:tcW w:w="2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  <w:tr w:rsidR="00534B10">
        <w:tc>
          <w:tcPr>
            <w:tcW w:w="3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3829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Нематериальные активы</w:t>
            </w:r>
          </w:p>
        </w:tc>
        <w:tc>
          <w:tcPr>
            <w:tcW w:w="2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  <w:tr w:rsidR="00534B10">
        <w:trPr>
          <w:gridAfter w:val="1"/>
          <w:wAfter w:w="210" w:type="dxa"/>
        </w:trPr>
        <w:tc>
          <w:tcPr>
            <w:tcW w:w="3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3829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Долгосрочные финансовые вложения</w:t>
            </w:r>
          </w:p>
        </w:tc>
        <w:tc>
          <w:tcPr>
            <w:tcW w:w="2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  <w:tr w:rsidR="00534B10">
        <w:trPr>
          <w:gridAfter w:val="1"/>
          <w:wAfter w:w="210" w:type="dxa"/>
        </w:trPr>
        <w:tc>
          <w:tcPr>
            <w:tcW w:w="3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3829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Незавершенное капитальное строительство</w:t>
            </w:r>
          </w:p>
        </w:tc>
        <w:tc>
          <w:tcPr>
            <w:tcW w:w="2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  <w:tr w:rsidR="00534B10">
        <w:trPr>
          <w:gridAfter w:val="1"/>
          <w:wAfter w:w="210" w:type="dxa"/>
        </w:trPr>
        <w:tc>
          <w:tcPr>
            <w:tcW w:w="3868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Оборотные активы</w:t>
            </w:r>
          </w:p>
        </w:tc>
        <w:tc>
          <w:tcPr>
            <w:tcW w:w="3829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Запасы</w:t>
            </w:r>
          </w:p>
        </w:tc>
        <w:tc>
          <w:tcPr>
            <w:tcW w:w="2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  <w:tr w:rsidR="00534B10">
        <w:trPr>
          <w:gridAfter w:val="1"/>
          <w:wAfter w:w="210" w:type="dxa"/>
        </w:trPr>
        <w:tc>
          <w:tcPr>
            <w:tcW w:w="3868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3829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Дебиторская задолженность</w:t>
            </w:r>
          </w:p>
        </w:tc>
        <w:tc>
          <w:tcPr>
            <w:tcW w:w="2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  <w:tr w:rsidR="00534B10">
        <w:trPr>
          <w:gridAfter w:val="1"/>
          <w:wAfter w:w="210" w:type="dxa"/>
        </w:trPr>
        <w:tc>
          <w:tcPr>
            <w:tcW w:w="3868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3829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Краткосрочные финансовые вложения</w:t>
            </w:r>
          </w:p>
        </w:tc>
        <w:tc>
          <w:tcPr>
            <w:tcW w:w="2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  <w:tr w:rsidR="00534B10">
        <w:trPr>
          <w:gridAfter w:val="1"/>
          <w:wAfter w:w="210" w:type="dxa"/>
        </w:trPr>
        <w:tc>
          <w:tcPr>
            <w:tcW w:w="3868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3829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Денежная наличность в банках</w:t>
            </w:r>
          </w:p>
        </w:tc>
        <w:tc>
          <w:tcPr>
            <w:tcW w:w="2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</w:tbl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Степень их ликвидности (скорость превращения в денежную наличность)-считается главным признаком группировки статей актива баланса. По этому признаку подразделяются все активы баланса на долгосрочные, или основной капитал, и оборотные активы.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Дебиторский долг, долговременные и кратковременные экономические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вложения, валютные ресурсы на счетах в банках могут использоваться как в его внутреннем обороте, так и за его пределами.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Капитал может функционировать в денежной и материальной формах. В период инфляции покупательной способности нахождение средств в денежной форме приводит к понижению их, так как эти статье не переоцениваются в связи с инфляцией.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связи с уровнем подверженности инфляционным действиям все без исключения заметки равновесия систематизируются в денежные 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немонитарные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Монетарные активы - заметки баланса, отображающие средства и обязательства в нынешней денежной оценке. Поэтому они не подлежат переоценке. К ним относятся денежные средства, депозиты, краткосрочные экономические инвестиции, средства в расчетах.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Немонетарные активы - основные средства, незавершенное капитальное строительство, производственные резервы, незавершенное производство, готовая продукция, товары для реализации. Настоящая стоимость этих активов меняется с течением времени и изменением цен и по этой причине потребуются переоценки.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Расположение средств предприятия содержит весьма большое значение в финансовой деятельности и увеличении ее производительности. От того, какие инвестиции вложены в главные и используемые ресурсы, какое количество их находится в сфере производства и обращения, в денежной и материальной форме, в какой степени оптимально их соотношение, в значительной мере зависят результаты производственной и финансовой деятельности, таким образом, и финансовая устойчивость предприятия. В случае если основные производственные мощности предприятия применяются недостаточно полно из-за отсутствия материальных ресурсов, в таком случае отрицательно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сказывается на финансовых результатах предприятия и его финансовом состоянии. То же самое происходит, если сформированы излишние производственные резервы, которые не могут быть моментально переработаны на имеющихся производственных мощностях. В результате замораживается основной капитал, тормозит его оборачиваемость и как результат усугубляется финансовое состояние. Даже при хороших финансовых итогах, значительном уровне рентабельности предприятие способно испытывать финансовые трудности, если оно нецелесообразно применяло свои финансовые ресурсы, вложив их в сверхнормативные производственные запасы или допустив значительную дебиторскую задолженность.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анализе применяются следующие виды сопоставлений.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Сопоставление фактически достигнутых результатов с сведениями предыдущих периодов.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Здесь сравнивают итоги нынешнего дня с предыдущим, нынешнего месяца, квартала, года с прошедшими. Это предоставляет возможность дать оценку темпам перемен исследуемых показателей и определить тенденции и закономерности формирования экономических процессов.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Сопоставление фактического уровня показателей с плановыми.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Подобное сравнение необходимо для оценки уровня выполнения плана, с целью установления неиспользованных резервов предприятия.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Сопоставление с утвержденными общепризнанными нормами расхода ресурсов (использованных материалов, сырья, топлива, энергии, воды и т.д.).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Подобное сопоставление необходимо для выявления экономии либо перерасхода ресурсов на производство продукции, с целью оценки эффективности их использования в процессе производства и установления утерянных возможностей повышения выпуска продукции и уменьшения себестоимости.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. Сопоставление с лучшими результатами, т.е. с наилучшими образцами труда, современным навыком, новейшими достижениями науки и техники. Изнутри предприятия ведется сопоставление среднего уровня показателей, завоеванных коллективом в целом, с показателями передовых участков, бригад, работников. Это позволяет выявить передовой опыт и новые возможности предприятия.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Огромную роль содержит межфирменный сравнительный анализ, в ходе которого показатели анализируемого предприятия сопоставляются с показателями основных предприятий, обладающих наилучшими результатами при одинаковых исходных условиях хозяйствования. Такого рода исследование направлено на поиск новых возможностей производства, исследование передового опыта и считается значимым средством определения резервов увеличения эффективности работы предприятия. В особенности огромную роль сравнения имеют сравнения результатов деятельности анализируемого предприятия с данными предприятий конкурентов.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Межфирменные сравнения проводятся с целью: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продемонстрировать руководству, как соотносятся результаты работы своего предприятия и подобных предприятий;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привлечь внимание руководства к сильным и слабым сторонам бизнеса;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предоставить руководству объективную базу для оценки эффективности функционирования предприятия и внесения коррективов в его стратегическую и тактическую политическую деятельность.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Самое последнее достижение в области межфирменного сравнительного анализа -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бенчмаркинг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. Это система преждевременного предотвращения о назревающих проблемах, основанная на исследовании достижений науки и практики не только в собственной отрасли, но и в иных отраслях. Он используется в качестве получения информации, которая требуется для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поддержания и достижения преимуществ в конкуренции.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Бенчмаркинг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может помочь осознать суть расхождений среди достигнутыми и запланированными результатами, делает менеджеров наиболее восприимчивыми и чувствительными к необходимости поиска новаций, формирует базу для инновационной деятельности, помогает высшему руководству в оптимизации тактических и стратегических управленческих решений по ликвидации отставания в собственном бизнесе и занятии лидерских позиций на рынке товаров и услуг.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Сопоставление показателей исследуемого предприятия со среднеотраслевыми сведениями либо средними по министерству, объединению, концерну и др.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Подобное сопоставление необходимо с целью установления рейтинга анализируемого предприятия среди других субъектов хозяйствования данной отрасли, более полной и объективной оценки уровня формирования предприятия, изучение общих и специфических факторов, характеризующих результаты его хозяйственной деятельности.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Сравнение параллельных и динамических рядов.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Такое сопоставление применяется в анализе для определения и обоснования формы и тенденции взаимосвязи между разными показателями. С этой целью числа, определяющие один из показателей, следует расположить в возрастающем либо убывающем порядке и посмотреть, как в связи с этим изменяются прочие исследуемые показатели: возрастают они или убывают и в какой степени.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Сравнение разных вариантов решения экономических задач.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Подобное сопоставление дает возможность выбрать наиболее оптимальный из них и тем самым наиболее глубже использовать возможности предприятия. Особенно обширно оно применяется в предварительном анализе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при обосновании планов и управленческих решений.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Сравнение результатов деятельности до и после изменения какого-либо фактора или производственной ситуации.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Подобное сопоставление широко используется при расчете влияния факторов и определении величины резервов.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Существенное требование, которое необходимо соблюдать при анализе, - необходимость обеспечения сопоставимости показателей, так как сопоставлять возможно только лишь высококачественно однородные величины.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Несопоставимость показателей может быть обусловлена различными факторами: разным уровнем цен, объемов деятельности, структурными преобразованиями, неоднородностью свойства продукта, различиями в методике расчета показателей, неодинаковыми календарными периодами и т.д.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Сравнение несопоставимых показателей приведет к неверным заключениям по результатам анализа. Поэтому, прежде чем осуществлять сравнение, необходимо привести показатели в сопоставимый вид. Сопоставимость достигается тем, что сопоставляемые показатели приводятся к единой базе согласно перечисленных выше факторов.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Соотносимость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показателей в ряде случаев может быть достигнута, в случае если вместо абсолютных величин применить средние или относительные величины.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некоторых случаях с целью предоставления сопоставимости показателей применяются регулировочные коэффициенты.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Использование относительных и средних величин в анализе деятельности предприятия.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Абсолютные показатели отображают количественные размеры явления в единицах меры, веса, размера, длительности, площади, стоимости и т.д. безотносительно к размеру других явлений.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Относительные показатели демонстрируют соответствие величины изучаемого явления с величиной какого-либо другого явления либо с величиной этого явления, но взятой за другой период или по другому объекту.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Их приобретают в результате разделения одной величины на другую, которая берется за основу сопоставления. Это могут быть данные плана, базового года, другого предприятия, среднеотраслевые и т.д. Относительные величины выражаются в форме коэффициентов или процентов.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анализе хозяйственной деятельности применяются различные типы условных величин: пространственного сравнения, планового задания, исполнение проекта, динамики, структуры, координации, интенсивности, эффективности.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Относительная величина пространственного сопоставления обуславливается сравнением уровней показателей, имеющие отношение к различным объектам, присвоенным за один и тот же период или на один момент времени.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Условная величина планового задания представляет собой отношение планового уровня показателя текущего года к фактическому его уровню в прошлом году либо к среднему его уровню за три - пять предшествующих лет.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Относительная величина выполнения плана - отношение межу фактическим и плановым уровнем показателя отчетного периода, сформулированное в процентах.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Условные величины производительности - это соотношение эффекта с ресурсами или расходами, например, доход на рубль затрат, на рубль выручки, на одного рабочего и др.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отличие от сопоставления параллельных рядов аналитические группировки наиболее четко отображают связь между исследуемыми явлениями, так как индивидуальные величины показателей заменяются средне групповыми.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В результате этого взаимно погашаются различного рода неожиданные отклонения, вызванные неявным влиянием других факторов, по этой причине взаимосвязь выражается наиболее отчетливо.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Балансовый метод предназначен главным образом для отображения соотношений, пропорций двух групп взаимозависимых экономических показателей, результаты которых должны быть идентичными.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Он широко применяется при анализе обеспеченности предприятия трудовыми, финансовыми ресурсами, сырьём, топливом, использованными материалами, основными средствами производства и т.д., а кроме того при анализе полноты их использования. Устанавливая, например,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снабженность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предприятия трудовыми ресурсами, составляют баланс, в котором, с одной стороны, демонстрируется необходимость в трудовых, а с другой - фактическое их присутствие.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 анализе применения трудовых сопоставляют допустимый фонд рабочего времени с фактическим числом отработанных часов, устанавливают причины сверхплановых издержек рабочего времени.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 целью установления платёжеспособности предприятия применяется платёжный баланс, в котором соотносятся платёжные средства с платёжными обязанностями.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Как вспомогательное средство балансовый метод применяется с целью анализа точности установления воздействия различных факторов на прирост величины продуктивного показателя. В детерминированном анализе алгебраическая совокупность величины воздействия отдельных факторов обязана соответствовать величине всеобщего прироста результативного показателя. В случае если подобное равноправие отсутствует, то это свидетельствует о недостаточном учете факторов, либо о разрешенных погрешностях в расчетах.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В некоторых случаях балансовый способ используют с целью установления величины воздействия отдельных факторов на увеличение продуктивного показателя. К примеру, если с трех факторов установлено воздействие двух, то воздействие третьего возможно определить, вычтя из всеобщего прироста результативного показателя итог воздействия первых двух факторов.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Эвристические методы относятся к неформальным методам решения экономических задач. Они применяются в основном с целью прогнозирования состояния объекта в обстоятельствах частичной или полной неопределенности, когда основным источником получения требуемых сведений служит научная интуиция ученых и специалистов, работающих в конкретных областях науки и бизнеса.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Наиболее распространенным из них является метод экспертных оценок. Суть его состоит в организованном сборе суждений и предложений экспертов (специалистов) согласно исследуемой проблеме с дальнейшей обработкой полученных ответов.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Основой данного метода является опрос специалистов. Опрос может быть персональный, совместный, очный, заочный, анонимный и т.д. Организаторы выборочного опроса устанавливают объект и цели экспертизы, выбирают специалистов, проводят проверку их компетентность, анализируют и обобщают итоги экспертизы.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sz w:val="28"/>
          <w:szCs w:val="28"/>
        </w:rPr>
        <w:lastRenderedPageBreak/>
        <w:t>2. АНАЛИЗ СИСТЕМЫ УПРАВЛЕНИЯ ИМУЩЕСТВОМ ООО «ГРАНИТ»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.1 Краткая характеристика предприятия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Общество с ограниченной ответственностью «ГРАНИТ» основан в 2003 году.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Деятельность предприятия довольно широка: операции с недвижимым имуществом, сдача в наем собственного недвижимого имущества, сдача в наем собственного нежилого недвижимого имущества, строительство, строительство зданий и сооружений, производство общестроительных работ, производство общестроительных работ по возведению зданий, подготовка строительного участка, разборка и снос зданий, производство земляных работ, расчистка строительных участков.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Основными видами деятельности в настоящее время является: операции с недвижимым имуществом, сдача в наем собственного недвижимого имущества, сдача в наем собственного нежилого недвижимого имущества. В настоящее время динамично развиваются и крепнут связи предприятия с отечественными предприятиями.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Уставный капитал предприятия составляет 10000 руб.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2.1.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Основные экономические показатели ООО «ГРАНИТ»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849"/>
        <w:gridCol w:w="852"/>
        <w:gridCol w:w="1010"/>
        <w:gridCol w:w="2251"/>
        <w:gridCol w:w="1598"/>
      </w:tblGrid>
      <w:tr w:rsidR="00534B10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Показатели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2014г.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2015г.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2016г.</w:t>
            </w:r>
          </w:p>
        </w:tc>
        <w:tc>
          <w:tcPr>
            <w:tcW w:w="2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Абсолютное изменение 2014 к 2013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Относит.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изменение,в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%</w:t>
            </w:r>
          </w:p>
        </w:tc>
      </w:tr>
      <w:tr w:rsidR="00534B10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Выручка от реализации, млн. руб.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7810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7774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7591</w:t>
            </w:r>
          </w:p>
        </w:tc>
        <w:tc>
          <w:tcPr>
            <w:tcW w:w="2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-183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-2,4</w:t>
            </w:r>
          </w:p>
        </w:tc>
      </w:tr>
      <w:tr w:rsidR="00534B10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Себестоимость, млн. руб.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7600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7593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7406</w:t>
            </w:r>
          </w:p>
        </w:tc>
        <w:tc>
          <w:tcPr>
            <w:tcW w:w="2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187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-2,5</w:t>
            </w:r>
          </w:p>
        </w:tc>
      </w:tr>
      <w:tr w:rsidR="00534B10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Затраты на 1 рубль продукции, руб.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0,973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0,977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0,976</w:t>
            </w:r>
          </w:p>
        </w:tc>
        <w:tc>
          <w:tcPr>
            <w:tcW w:w="2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-0,001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-0,1</w:t>
            </w:r>
          </w:p>
        </w:tc>
      </w:tr>
      <w:tr w:rsidR="00534B10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Валовая прибыль,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млн.руб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.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210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181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185</w:t>
            </w:r>
          </w:p>
        </w:tc>
        <w:tc>
          <w:tcPr>
            <w:tcW w:w="2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2,2</w:t>
            </w:r>
          </w:p>
        </w:tc>
      </w:tr>
      <w:tr w:rsidR="00534B10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Коммерческие расходы, млн.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руб.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0,1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0,1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2,9</w:t>
            </w:r>
          </w:p>
        </w:tc>
        <w:tc>
          <w:tcPr>
            <w:tcW w:w="2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2800</w:t>
            </w:r>
          </w:p>
        </w:tc>
      </w:tr>
      <w:tr w:rsidR="00534B10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Операционная прибыль, млн. руб.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210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181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182</w:t>
            </w:r>
          </w:p>
        </w:tc>
        <w:tc>
          <w:tcPr>
            <w:tcW w:w="2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0,6</w:t>
            </w:r>
          </w:p>
        </w:tc>
      </w:tr>
      <w:tr w:rsidR="00534B10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Проценты к получению, млн. руб.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132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355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22,5</w:t>
            </w:r>
          </w:p>
        </w:tc>
        <w:tc>
          <w:tcPr>
            <w:tcW w:w="2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-332,5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93,7</w:t>
            </w:r>
          </w:p>
        </w:tc>
      </w:tr>
      <w:tr w:rsidR="00534B10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Проценты к уплате, млн. руб.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538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472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393</w:t>
            </w:r>
          </w:p>
        </w:tc>
        <w:tc>
          <w:tcPr>
            <w:tcW w:w="2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-79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-16,7</w:t>
            </w:r>
          </w:p>
        </w:tc>
      </w:tr>
      <w:tr w:rsidR="00534B10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Прочие доходы, млн. руб.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2510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3866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2287</w:t>
            </w:r>
          </w:p>
        </w:tc>
        <w:tc>
          <w:tcPr>
            <w:tcW w:w="2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-1579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-40,8</w:t>
            </w:r>
          </w:p>
        </w:tc>
      </w:tr>
      <w:tr w:rsidR="00534B10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Прочие расходы млн. руб.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2516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4186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2265</w:t>
            </w:r>
          </w:p>
        </w:tc>
        <w:tc>
          <w:tcPr>
            <w:tcW w:w="2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-1921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-45,9</w:t>
            </w:r>
          </w:p>
        </w:tc>
      </w:tr>
      <w:tr w:rsidR="00534B10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Прибыль (убыток) до налогообложения, млн. руб.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-203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-256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-167</w:t>
            </w:r>
          </w:p>
        </w:tc>
        <w:tc>
          <w:tcPr>
            <w:tcW w:w="2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89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-34,8</w:t>
            </w:r>
          </w:p>
        </w:tc>
      </w:tr>
      <w:tr w:rsidR="00534B10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Чистая прибыль (убыток), млн. руб.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1,8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3,2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3,9</w:t>
            </w:r>
          </w:p>
        </w:tc>
        <w:tc>
          <w:tcPr>
            <w:tcW w:w="2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0,7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21,9</w:t>
            </w:r>
          </w:p>
        </w:tc>
      </w:tr>
    </w:tbl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период с 2014 по 2016гг. наблюдается тенденция снижения выручки от реализации продукции и выполненных работ, так 2015г. по сравнению с 2014г. выручка от реализации снизилась на 0,5%, а в период с 2015 по 2016гг. снижение составило 2,4%. Но на фоне снижения выручки от реализации произошло снижение себестоимости продукции, так в 2015г. по сравнению с 2014г. себестоимость продукции снизилась на 0,09%, а в 2016г. по сравнению с 2015г. на 2,5%. Валовая прибыль в 2015г. по сравнению с 2014 снизилась на 14%, в 2016г. по сравнению с 2015г. произошло увеличение на 2,2% и составила в 2016г. 185 млн. руб.. Произошло в 2016г. увеличение коммерческих расходов на 2,8 млн. руб. Операционная прибыль в 2015г. снизилась на 14% по сравнению с предыдущим годом, в 2016г. произошло небольшое увеличение на 0,6%, в 2016г. операционная прибыль составила 182 млн. руб. В 2015г. проценты к получению составили 355 млн. руб., что на 169 млн. руб. больше, чем за предыдущий 2014г., в 2016г. показатель по процентам к получению снизились на 93,7 % и составили 22,5 млн. руб. Снижение во многом связано с закрытием срочных депозитов размещенных в Банках. Проценты к уплате в 2015г. по сравнению с 2014г. также снизились на 12%, в 2016г. по сравнению с 2015г. произошло снижение на 16,7% и составило 393 млн. руб. Снижение процентов к уплате связано с частичным погашением по кредитным линиям, а так же с уменьшением банковских ставок по кредитам.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На рисунке 2.1 представлена динамика увеличения чистой прибыли за период с 2014 по 2016гг.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34B10" w:rsidRDefault="00E6196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5353050" cy="3086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2.1 Чистая прибыль, млн. руб.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Получена чистая прибыль в 2015г. составила 3,2 млн. руб., что на 77% больше полученной чистой прибыли в 2014г., в 2015г. чистая прибыль увеличилась на 21,9% по сравнению с 2015г. и составила 3,9 млн. руб. Увеличение чистой прибыли в 2016г. произошло за счет снижения себестоимости продукции, увеличением валовой прибыли, увеличения операционной прибыли, снижением процентов к уплате, снижением прочих расходов.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sz w:val="28"/>
          <w:szCs w:val="28"/>
        </w:rPr>
        <w:lastRenderedPageBreak/>
        <w:t>2.2 Общая оценка имущества предприятия по данным актива баланса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общей оценки имущественного потенциала предприятия проводится анализ динамики состава и структуры имущества (актива) баланса. Эти позиции рассматриваются на примере данных бухгалтерской отчетности.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Аналитический баланс - это равновесие, в котором собственность по форме (активы) показано на фоне собственности согласно содержанию (капитал), а собственность согласно содержанию (капитал) - на фоне имущества (собственности) по форме (активы). При этом возникшие общие элементы основательно увязывают активы и капитал в силу того, что одновременно вступают в структуру денежных средств и в состав капитала, а поэтому внутренняя структура капитала становится очевидной.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Сравнительное аналитическое равновесие возможно приобрести из исходного баланса путём уплотнённых отдельных статей и добавления его показателями структуры: динамики и структурной динамики.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Аналитический баланс может быть полезно тем, что объединяет в одно целое и систематизирует те расчёты, которые обычно реализовывает аналитик при ознакомлении с балансом. Схемой аналитического баланса охвачено большое количество показателей, определяющих статистику и динамику финансового состояния организации. Этот баланс фактически включает показатели как горизонтального, так и вертикального анализа, наглядно представлено в таблице 2.1.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Таблица 2.1.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Сравнительный аналитический баланс за 2014-2015гг.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797"/>
        <w:gridCol w:w="797"/>
        <w:gridCol w:w="837"/>
        <w:gridCol w:w="910"/>
        <w:gridCol w:w="910"/>
        <w:gridCol w:w="831"/>
        <w:gridCol w:w="1150"/>
        <w:gridCol w:w="1104"/>
      </w:tblGrid>
      <w:tr w:rsidR="00534B10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Показатель</w:t>
            </w:r>
          </w:p>
        </w:tc>
        <w:tc>
          <w:tcPr>
            <w:tcW w:w="24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Абсолютные величины, тыс. руб.</w:t>
            </w:r>
          </w:p>
        </w:tc>
        <w:tc>
          <w:tcPr>
            <w:tcW w:w="490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Относительные величины, %</w:t>
            </w:r>
          </w:p>
        </w:tc>
      </w:tr>
      <w:tr w:rsidR="00534B10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2014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2015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Измене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ние</w:t>
            </w:r>
            <w:proofErr w:type="spellEnd"/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2014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2015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Измене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ние</w:t>
            </w:r>
            <w:proofErr w:type="spellEnd"/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 % к величине  на нач. года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 % к измен.  итога баланса</w:t>
            </w:r>
          </w:p>
        </w:tc>
      </w:tr>
      <w:tr w:rsidR="00534B10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Внеоборотные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активы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  <w:tr w:rsidR="00534B10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1.1.Основные средства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132147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128437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-3710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27,87%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24,82%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-3,04%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-2,81%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-30,85%</w:t>
            </w:r>
          </w:p>
        </w:tc>
      </w:tr>
      <w:tr w:rsidR="00534B10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1.2. Нематериальные активы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0,00%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0,00%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0,00%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  <w:tr w:rsidR="00534B10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1.3. Прочие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внеоборотные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активы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9386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10322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936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1,98%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2,00%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0,02%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9,97%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109,58%</w:t>
            </w:r>
          </w:p>
        </w:tc>
      </w:tr>
      <w:tr w:rsidR="00534B10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Итого по разделу I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141533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138759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-2774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29,84%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26,82%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-3,03%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-1,96%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-21,54%</w:t>
            </w:r>
          </w:p>
        </w:tc>
      </w:tr>
      <w:tr w:rsidR="00534B10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II. Оборотные активы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  <w:tr w:rsidR="00534B10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2.1. Запасы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81251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80543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-708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17,13%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15,57%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-1,57%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-0,87%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-9,57%</w:t>
            </w:r>
          </w:p>
        </w:tc>
      </w:tr>
      <w:tr w:rsidR="00534B10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2.2. Дебиторская задолженность (после 12 мес.)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0,00%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0,00%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0,00%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0,00%</w:t>
            </w:r>
          </w:p>
        </w:tc>
      </w:tr>
      <w:tr w:rsidR="00534B10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2.3.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Медленнореализуемые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активы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107127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92391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-14736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22,59%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17,86%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-4,73%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-13,76%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-151,15%</w:t>
            </w:r>
          </w:p>
        </w:tc>
      </w:tr>
      <w:tr w:rsidR="00534B10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2.4. Дебиторская задолженность (до 12 мес.)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222632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283653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61021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46,95%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54,82%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7,88%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27,41%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301,17%</w:t>
            </w:r>
          </w:p>
        </w:tc>
      </w:tr>
      <w:tr w:rsidR="00534B10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2.5. Краткосрочные финансовые вложения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0,00%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0,00%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0,00%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  <w:tr w:rsidR="00534B10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2.6. Денежные средства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2940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2588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-352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0,62%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0,50%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-0,12%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-11,97%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-131,56%</w:t>
            </w:r>
          </w:p>
        </w:tc>
      </w:tr>
      <w:tr w:rsidR="00534B10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2.7. Наиболее ликвидные активы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2940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2588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-352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0,62%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0,50%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-0,12%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-11,97%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-131,56%</w:t>
            </w:r>
          </w:p>
        </w:tc>
      </w:tr>
      <w:tr w:rsidR="00534B10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Итого по разделу II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332699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378632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45933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70,16%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73,18%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3,03%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13,81%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151,70%</w:t>
            </w:r>
          </w:p>
        </w:tc>
      </w:tr>
      <w:tr w:rsidR="00534B10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СТОИМОСТЬ ИМУЩЕСТВА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474232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517391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43159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100,00%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100,00%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100%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9,10%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100,00%</w:t>
            </w:r>
          </w:p>
        </w:tc>
      </w:tr>
      <w:tr w:rsidR="00534B10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IV. Капитал и резервы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  <w:tr w:rsidR="00534B10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4.1. Уставной капитал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881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881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0,19%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0,17%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-0,02%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0,00%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0,00%</w:t>
            </w:r>
          </w:p>
        </w:tc>
      </w:tr>
      <w:tr w:rsidR="00534B10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4.2. Добавочный капитал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25309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24049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-1260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5,34%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4,65%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-0,69%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-4,98%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-54,70%</w:t>
            </w:r>
          </w:p>
        </w:tc>
      </w:tr>
      <w:tr w:rsidR="00534B10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4.3. Специальные фонды и целевые финансирования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64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1545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1481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0,01%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0,30%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0,29%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2314,06%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25426,97%</w:t>
            </w:r>
          </w:p>
        </w:tc>
      </w:tr>
      <w:tr w:rsidR="00534B10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4.4. Нераспределенная прибыль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155334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139760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-15574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32,75%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27,01%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-5,74%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-10,03%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-110,17%</w:t>
            </w:r>
          </w:p>
        </w:tc>
      </w:tr>
      <w:tr w:rsidR="00534B10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Итого по разделу IV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181588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166235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-15353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38,29%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32,13%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-6,16%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-8,45%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-92,90%</w:t>
            </w:r>
          </w:p>
        </w:tc>
      </w:tr>
      <w:tr w:rsidR="00534B10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V. Долгосрочные пассивы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2281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258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-2023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0,48%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0,05%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-0,43%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-88,69%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-974,52%</w:t>
            </w:r>
          </w:p>
        </w:tc>
      </w:tr>
      <w:tr w:rsidR="00534B10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VI. Краткосрочные пассивы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  <w:tr w:rsidR="00534B10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6.1. Заемные средства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156238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227944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71706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32,95%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44,06%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11,11%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45,90%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504,30%</w:t>
            </w:r>
          </w:p>
        </w:tc>
      </w:tr>
      <w:tr w:rsidR="00534B10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6.2. Кредиторская задолженность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134110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122954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-11156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28,28%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23,76%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-4,52%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-8,32%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-91,40%</w:t>
            </w:r>
          </w:p>
        </w:tc>
      </w:tr>
      <w:tr w:rsidR="00534B10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6.3. Прочие пассивы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-15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0,003%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0,00%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0,00%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-100,00%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-1098,80%</w:t>
            </w:r>
          </w:p>
        </w:tc>
      </w:tr>
      <w:tr w:rsidR="00534B10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6.4. Краткосрочные пассивы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156238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227944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71706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32,95%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44,06%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11,11%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45,90%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504,30%</w:t>
            </w:r>
          </w:p>
        </w:tc>
      </w:tr>
      <w:tr w:rsidR="00534B10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Итого по разделу VI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290363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350898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60535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61,23%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67,82%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6,59%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20,85%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229,08%</w:t>
            </w:r>
          </w:p>
        </w:tc>
      </w:tr>
      <w:tr w:rsidR="00534B10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Всего заемных средств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292644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351156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58512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61,71%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67,87%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6,16%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19,99%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219,70%</w:t>
            </w:r>
          </w:p>
        </w:tc>
      </w:tr>
      <w:tr w:rsidR="00534B10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Итог баланса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474232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517391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43159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100,00%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100,00%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9,10%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100,00%</w:t>
            </w:r>
          </w:p>
        </w:tc>
      </w:tr>
      <w:tr w:rsidR="00534B10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Величина собственных средств в обороте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40055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27476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-12579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8,45%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5,31%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-3,14%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-31,40%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-345,07%</w:t>
            </w:r>
          </w:p>
        </w:tc>
      </w:tr>
    </w:tbl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sz w:val="28"/>
          <w:szCs w:val="28"/>
        </w:rPr>
        <w:lastRenderedPageBreak/>
        <w:t>Таблица 2.2.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Сравнительный аналитический баланс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 2015-2016гг.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208"/>
        <w:gridCol w:w="822"/>
        <w:gridCol w:w="822"/>
        <w:gridCol w:w="857"/>
        <w:gridCol w:w="940"/>
        <w:gridCol w:w="940"/>
        <w:gridCol w:w="857"/>
        <w:gridCol w:w="1077"/>
        <w:gridCol w:w="940"/>
      </w:tblGrid>
      <w:tr w:rsidR="00534B10"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Показатель</w:t>
            </w:r>
          </w:p>
        </w:tc>
        <w:tc>
          <w:tcPr>
            <w:tcW w:w="2501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Абсолютные величины, тыс. руб.</w:t>
            </w:r>
          </w:p>
        </w:tc>
        <w:tc>
          <w:tcPr>
            <w:tcW w:w="475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Относительные величины, %</w:t>
            </w:r>
          </w:p>
        </w:tc>
      </w:tr>
      <w:tr w:rsidR="00534B10"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Измене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ние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Измене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Ние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 % к величине  на нач. года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 % к измен.  итога баланса</w:t>
            </w:r>
          </w:p>
        </w:tc>
      </w:tr>
      <w:tr w:rsidR="00534B10">
        <w:tc>
          <w:tcPr>
            <w:tcW w:w="22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I.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Внеоборотные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активы</w:t>
            </w:r>
          </w:p>
        </w:tc>
        <w:tc>
          <w:tcPr>
            <w:tcW w:w="8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  <w:tr w:rsidR="00534B10">
        <w:tc>
          <w:tcPr>
            <w:tcW w:w="22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1.1.Основные средства</w:t>
            </w:r>
          </w:p>
        </w:tc>
        <w:tc>
          <w:tcPr>
            <w:tcW w:w="8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128437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140271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11834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24,82%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22,00%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-2,82%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9,21%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9,86%</w:t>
            </w:r>
          </w:p>
        </w:tc>
      </w:tr>
      <w:tr w:rsidR="00534B10">
        <w:tc>
          <w:tcPr>
            <w:tcW w:w="22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1.2. Нематериальные активы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0,00%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0,00%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0,00%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</w:p>
        </w:tc>
      </w:tr>
      <w:tr w:rsidR="00534B10"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1.3. Прочие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внеоборотные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активы</w:t>
            </w:r>
          </w:p>
        </w:tc>
        <w:tc>
          <w:tcPr>
            <w:tcW w:w="8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10322</w:t>
            </w:r>
          </w:p>
        </w:tc>
        <w:tc>
          <w:tcPr>
            <w:tcW w:w="8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13266</w:t>
            </w:r>
          </w:p>
        </w:tc>
        <w:tc>
          <w:tcPr>
            <w:tcW w:w="8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2944</w:t>
            </w:r>
          </w:p>
        </w:tc>
        <w:tc>
          <w:tcPr>
            <w:tcW w:w="9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2,00%</w:t>
            </w:r>
          </w:p>
        </w:tc>
        <w:tc>
          <w:tcPr>
            <w:tcW w:w="9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2,08%</w:t>
            </w:r>
          </w:p>
        </w:tc>
        <w:tc>
          <w:tcPr>
            <w:tcW w:w="8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0,09%</w:t>
            </w:r>
          </w:p>
        </w:tc>
        <w:tc>
          <w:tcPr>
            <w:tcW w:w="1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28,52%</w:t>
            </w:r>
          </w:p>
        </w:tc>
        <w:tc>
          <w:tcPr>
            <w:tcW w:w="9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2,45%</w:t>
            </w:r>
          </w:p>
        </w:tc>
      </w:tr>
      <w:tr w:rsidR="00534B10">
        <w:tc>
          <w:tcPr>
            <w:tcW w:w="22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Итого по разделу I</w:t>
            </w:r>
          </w:p>
        </w:tc>
        <w:tc>
          <w:tcPr>
            <w:tcW w:w="8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138759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153537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14778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26,82%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24,09%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-2,73%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10,65%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12,31%</w:t>
            </w:r>
          </w:p>
        </w:tc>
      </w:tr>
      <w:tr w:rsidR="00534B10">
        <w:tc>
          <w:tcPr>
            <w:tcW w:w="22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II. Оборотные активы</w:t>
            </w:r>
          </w:p>
        </w:tc>
        <w:tc>
          <w:tcPr>
            <w:tcW w:w="8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  <w:tr w:rsidR="00534B10">
        <w:tc>
          <w:tcPr>
            <w:tcW w:w="22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2.1. Запасы</w:t>
            </w:r>
          </w:p>
        </w:tc>
        <w:tc>
          <w:tcPr>
            <w:tcW w:w="8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80543</w:t>
            </w:r>
          </w:p>
        </w:tc>
        <w:tc>
          <w:tcPr>
            <w:tcW w:w="8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109847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29304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15,57%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17,23%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1,66%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36,38%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24,40%</w:t>
            </w:r>
          </w:p>
        </w:tc>
      </w:tr>
      <w:tr w:rsidR="00534B10">
        <w:tc>
          <w:tcPr>
            <w:tcW w:w="22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2.2. Дебиторская задолженность (после 12 мес.)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0,00%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  <w:tr w:rsidR="00534B10">
        <w:tc>
          <w:tcPr>
            <w:tcW w:w="22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2.3.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Медленнореализуемые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активы</w:t>
            </w:r>
          </w:p>
        </w:tc>
        <w:tc>
          <w:tcPr>
            <w:tcW w:w="8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92391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124422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32031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17,86%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19,52%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1,66%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34,67%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26,68%</w:t>
            </w:r>
          </w:p>
        </w:tc>
      </w:tr>
      <w:tr w:rsidR="00534B10">
        <w:tc>
          <w:tcPr>
            <w:tcW w:w="22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2.4. Дебиторская задолженность (до 12 мес.)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283653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358040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74387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54,82%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56,17%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1,34%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26,22%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61,95%</w:t>
            </w:r>
          </w:p>
        </w:tc>
      </w:tr>
      <w:tr w:rsidR="00534B10">
        <w:tc>
          <w:tcPr>
            <w:tcW w:w="22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2.5. Краткосрочные финансовые вложения</w:t>
            </w:r>
          </w:p>
        </w:tc>
        <w:tc>
          <w:tcPr>
            <w:tcW w:w="8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0,00%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  <w:tr w:rsidR="00534B10">
        <w:tc>
          <w:tcPr>
            <w:tcW w:w="22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2.6. Денежные средства</w:t>
            </w:r>
          </w:p>
        </w:tc>
        <w:tc>
          <w:tcPr>
            <w:tcW w:w="8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2588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1418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-1170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0,50%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0,22%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-0,28%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-45,21%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-0,97%</w:t>
            </w:r>
          </w:p>
        </w:tc>
      </w:tr>
      <w:tr w:rsidR="00534B10">
        <w:tc>
          <w:tcPr>
            <w:tcW w:w="22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2.7. Наиболее ликвидные активы</w:t>
            </w:r>
          </w:p>
        </w:tc>
        <w:tc>
          <w:tcPr>
            <w:tcW w:w="8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2588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1466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-1122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0,50%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0,23%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-0,27%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-43,35%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-0,93%</w:t>
            </w:r>
          </w:p>
        </w:tc>
      </w:tr>
      <w:tr w:rsidR="00534B10">
        <w:tc>
          <w:tcPr>
            <w:tcW w:w="22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Итого по разделу II</w:t>
            </w:r>
          </w:p>
        </w:tc>
        <w:tc>
          <w:tcPr>
            <w:tcW w:w="8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378632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483928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105296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73,18%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75,91%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2,73%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27,81%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87,69%</w:t>
            </w:r>
          </w:p>
        </w:tc>
      </w:tr>
      <w:tr w:rsidR="00534B10">
        <w:tc>
          <w:tcPr>
            <w:tcW w:w="22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СТОИМОСТЬ ИМУЩЕСТВА</w:t>
            </w:r>
          </w:p>
        </w:tc>
        <w:tc>
          <w:tcPr>
            <w:tcW w:w="8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517391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637465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120074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100,00%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100,00%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23,21%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100,00%</w:t>
            </w:r>
          </w:p>
        </w:tc>
      </w:tr>
      <w:tr w:rsidR="00534B10">
        <w:tc>
          <w:tcPr>
            <w:tcW w:w="22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III. Капитал и резервы</w:t>
            </w:r>
          </w:p>
        </w:tc>
        <w:tc>
          <w:tcPr>
            <w:tcW w:w="8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  <w:tr w:rsidR="00534B10">
        <w:tc>
          <w:tcPr>
            <w:tcW w:w="22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4.1. Уставной капитал</w:t>
            </w:r>
          </w:p>
        </w:tc>
        <w:tc>
          <w:tcPr>
            <w:tcW w:w="8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881</w:t>
            </w:r>
          </w:p>
        </w:tc>
        <w:tc>
          <w:tcPr>
            <w:tcW w:w="8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881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0,17%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0,14%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-0,03%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0,00%</w:t>
            </w:r>
          </w:p>
        </w:tc>
      </w:tr>
      <w:tr w:rsidR="00534B10">
        <w:tc>
          <w:tcPr>
            <w:tcW w:w="22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4.2. Добавочный капитал</w:t>
            </w:r>
          </w:p>
        </w:tc>
        <w:tc>
          <w:tcPr>
            <w:tcW w:w="8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24049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25154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1105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4,65%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3,95%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-0,70%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4,59%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0,92%</w:t>
            </w:r>
          </w:p>
        </w:tc>
      </w:tr>
      <w:tr w:rsidR="00534B10">
        <w:tc>
          <w:tcPr>
            <w:tcW w:w="22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4.3. Специальные фонды и целевые финансирования</w:t>
            </w:r>
          </w:p>
        </w:tc>
        <w:tc>
          <w:tcPr>
            <w:tcW w:w="8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1545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1545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0,30%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0,24%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-0,06%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0,00%</w:t>
            </w:r>
          </w:p>
        </w:tc>
      </w:tr>
      <w:tr w:rsidR="00534B10">
        <w:tc>
          <w:tcPr>
            <w:tcW w:w="22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4.4. Нераспределенная прибыль</w:t>
            </w:r>
          </w:p>
        </w:tc>
        <w:tc>
          <w:tcPr>
            <w:tcW w:w="8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139760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140265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505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27,01%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22,00%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-5,01%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0,36%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0,42%</w:t>
            </w:r>
          </w:p>
        </w:tc>
      </w:tr>
      <w:tr w:rsidR="00534B10">
        <w:tc>
          <w:tcPr>
            <w:tcW w:w="22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Итого по разделу IV</w:t>
            </w:r>
          </w:p>
        </w:tc>
        <w:tc>
          <w:tcPr>
            <w:tcW w:w="8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166235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167845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1610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32,13%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26,33%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-5,80%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0,97%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1,34%</w:t>
            </w:r>
          </w:p>
        </w:tc>
      </w:tr>
      <w:tr w:rsidR="00534B10">
        <w:tc>
          <w:tcPr>
            <w:tcW w:w="22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IV. Долгосрочные пассивы</w:t>
            </w:r>
          </w:p>
        </w:tc>
        <w:tc>
          <w:tcPr>
            <w:tcW w:w="8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258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-109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0,05%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0,02%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-0,03%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-42,25%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-0,09%</w:t>
            </w:r>
          </w:p>
        </w:tc>
      </w:tr>
      <w:tr w:rsidR="00534B10">
        <w:tc>
          <w:tcPr>
            <w:tcW w:w="22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V. Краткосрочные пассивы</w:t>
            </w:r>
          </w:p>
        </w:tc>
        <w:tc>
          <w:tcPr>
            <w:tcW w:w="8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0,00%</w:t>
            </w:r>
          </w:p>
        </w:tc>
      </w:tr>
      <w:tr w:rsidR="00534B10">
        <w:tc>
          <w:tcPr>
            <w:tcW w:w="22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6.1. Заемные средства</w:t>
            </w:r>
          </w:p>
        </w:tc>
        <w:tc>
          <w:tcPr>
            <w:tcW w:w="8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227944</w:t>
            </w:r>
          </w:p>
        </w:tc>
        <w:tc>
          <w:tcPr>
            <w:tcW w:w="8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321461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93517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44,06%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50,43%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6,37%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41,03%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77,88%</w:t>
            </w:r>
          </w:p>
        </w:tc>
      </w:tr>
      <w:tr w:rsidR="00534B10">
        <w:tc>
          <w:tcPr>
            <w:tcW w:w="22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6.2. Кредиторская задолженность</w:t>
            </w:r>
          </w:p>
        </w:tc>
        <w:tc>
          <w:tcPr>
            <w:tcW w:w="8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122954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148010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25056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23,76%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23,22%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-0,55%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20,38%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20,87%</w:t>
            </w:r>
          </w:p>
        </w:tc>
      </w:tr>
      <w:tr w:rsidR="00534B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6.3. Прочие пассивы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0,00%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0,00%</w:t>
            </w: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0,00%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0,00%</w:t>
            </w:r>
          </w:p>
        </w:tc>
      </w:tr>
      <w:tr w:rsidR="00534B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6.4. Краткосрочные пассивы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227944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321461</w:t>
            </w: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93517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44,06%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50,43%</w:t>
            </w: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6,37%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41,03%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77,88%</w:t>
            </w:r>
          </w:p>
        </w:tc>
      </w:tr>
      <w:tr w:rsidR="00534B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Итого по разделу VI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350898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469471</w:t>
            </w: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118573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67,82%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73,65%</w:t>
            </w: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5,83%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33,79%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98,75%</w:t>
            </w:r>
          </w:p>
        </w:tc>
      </w:tr>
      <w:tr w:rsidR="00534B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Всего заемных средств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351156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469620</w:t>
            </w: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118464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67,87%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73,67%</w:t>
            </w: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5,80%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33,74%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98,66%</w:t>
            </w:r>
          </w:p>
        </w:tc>
      </w:tr>
      <w:tr w:rsidR="00534B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Итог баланса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517391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637465</w:t>
            </w: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120074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100,00%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100,00%</w:t>
            </w: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100%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23,21%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100,00%</w:t>
            </w:r>
          </w:p>
        </w:tc>
      </w:tr>
      <w:tr w:rsidR="00534B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Величина собственных средств в обороте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27476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14308</w:t>
            </w: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-13168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5,31%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2,24%</w:t>
            </w: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-3,07%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-47,93%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-10,97%</w:t>
            </w:r>
          </w:p>
        </w:tc>
      </w:tr>
    </w:tbl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Рассмотрим подробно, насколько, изменилась доля тех или иных статей в балансе за истекший период.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активах организации за последние 3 года доля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внеоборотных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средств уменьшилась с 29,84% до 24,09%. Это уменьшение в значительной степени связано с уменьшением доли незавершенного строительства с 16,06% до 3,64%. Соответственно повысилась доля оборотных средств за счет дебиторской задолженности. На начало рассматриваемого периода дебиторская задолженность составляла 46,95 % всех активов и на конец 56,17 %. Нормальная доля дебиторской задолженности 1/3 активов предприятия, а в 2015г. и 2016г. она превышает уже 50%. Увеличение доли дебиторской задолженности является неблагоприятным признаком, т.к. свидетельствует о превышении предельно допустимой нормы задолженности.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Признаком удовлетворительной структуры баланса является состояние относительного равновесия между объемами кредиторской и дебиторской задолженности, что к сожалению не наблюдается за все три года.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Структура активов организации изменилась в сторону уменьшения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внеоборотных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активов на фоне увеличения оборотных средств.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Наряду с повышением дебиторской задолженности в составе оборотных активов произошло некоторое изменение доли: так в 2014г. они занимали 17,13%, в 2015г. произошло незначительное уменьшение до 15,57%, а в 2016г. происходит снова рост до 17,23%. Главным образом на повышение запасов в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2016г. повлияло увеличение объемов сырья и материалов с 9,33 % до 10,77 %.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пассиве баланса доля собственного капитала уменьшилась с 32,13% в 2015г. до 26,33 % в 2016г. Доля заемного капитала увеличилась с 61,71 % до 73,67 %, главным образом это связано с увеличением доли краткосрочных.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Рост краткосрочных обязательств уменьшает долю собственного капитала в общей сумме источников средств предприятия. Отсюда следует, что структура пассивов организации характеризуется малой долей собственного капитала и более высокой долей заемного капитала.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Общая сумма средств, которые находятся в распоряжении организации в 2015г. увеличилась на 9,1% по сравнению с 2014г., а в 2016г. выросла на 23,21% по сравнению с 2015г. соответственно. Положительная динамика баланса является тенденцией положительной и свидетельствует о незначительном росте хозяйственной деятельности предприятия.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Величина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внеоборотных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активов в 2015г. незначительно снизилась, а в 2016г. выросла на 10,65%.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Наиболее значительно за рассматриваемый период уменьшилась от исходной суммы незавершенное строительство на 49424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т.р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. в период с 2014г по 2015г. и на 3538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т.р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. с 2015г. по 2016г. по остальным статьям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внеоборотных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активов произошел рост.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пассивах организации наблюдается сокращение практически всех групп обязательств в 2015г., за исключением краткосрочных кредитов и отложенных налоговых обязательств. В 2016г. наоборот происходит увеличение заемных источников.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Подытоживая результаты анализа, можно сделать вывод о том, что активы организации выросли за отчетный период на 23%.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целом на основе анализа баланса можно сказать о положительной динамике развития предприятия.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Далее проведем анализ соотношения оборотных 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внеоборотных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активов. Данный анализ представлен в таблице 2.3. и 2.4.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2.3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Анализ соотношения оборотных 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внеоборотных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активов в 2015г.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252"/>
        <w:gridCol w:w="820"/>
        <w:gridCol w:w="820"/>
        <w:gridCol w:w="836"/>
        <w:gridCol w:w="937"/>
        <w:gridCol w:w="937"/>
        <w:gridCol w:w="783"/>
        <w:gridCol w:w="1093"/>
        <w:gridCol w:w="933"/>
      </w:tblGrid>
      <w:tr w:rsidR="00534B10">
        <w:tc>
          <w:tcPr>
            <w:tcW w:w="2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Показатель</w:t>
            </w:r>
          </w:p>
        </w:tc>
        <w:tc>
          <w:tcPr>
            <w:tcW w:w="2476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Абсолютные величины, тыс. руб.</w:t>
            </w:r>
          </w:p>
        </w:tc>
        <w:tc>
          <w:tcPr>
            <w:tcW w:w="4683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Относительные величины, %</w:t>
            </w:r>
          </w:p>
        </w:tc>
      </w:tr>
      <w:tr w:rsidR="00534B10">
        <w:tc>
          <w:tcPr>
            <w:tcW w:w="2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2015</w:t>
            </w:r>
          </w:p>
        </w:tc>
        <w:tc>
          <w:tcPr>
            <w:tcW w:w="83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Изме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нение</w:t>
            </w:r>
            <w:proofErr w:type="spellEnd"/>
          </w:p>
        </w:tc>
        <w:tc>
          <w:tcPr>
            <w:tcW w:w="9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2014</w:t>
            </w:r>
          </w:p>
        </w:tc>
        <w:tc>
          <w:tcPr>
            <w:tcW w:w="9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Изме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нение</w:t>
            </w:r>
            <w:proofErr w:type="spellEnd"/>
          </w:p>
        </w:tc>
        <w:tc>
          <w:tcPr>
            <w:tcW w:w="109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 % к величине  на нач. года</w:t>
            </w:r>
          </w:p>
        </w:tc>
        <w:tc>
          <w:tcPr>
            <w:tcW w:w="93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 % к измен.  итога баланса</w:t>
            </w:r>
          </w:p>
        </w:tc>
      </w:tr>
      <w:tr w:rsidR="00534B10">
        <w:tc>
          <w:tcPr>
            <w:tcW w:w="22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Внеоборотные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активы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141533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138759</w:t>
            </w:r>
          </w:p>
        </w:tc>
        <w:tc>
          <w:tcPr>
            <w:tcW w:w="83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-2774</w:t>
            </w:r>
          </w:p>
        </w:tc>
        <w:tc>
          <w:tcPr>
            <w:tcW w:w="9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29,84%</w:t>
            </w:r>
          </w:p>
        </w:tc>
        <w:tc>
          <w:tcPr>
            <w:tcW w:w="9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26,82%</w:t>
            </w:r>
          </w:p>
        </w:tc>
        <w:tc>
          <w:tcPr>
            <w:tcW w:w="7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-3,03%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-1,96%</w:t>
            </w:r>
          </w:p>
        </w:tc>
        <w:tc>
          <w:tcPr>
            <w:tcW w:w="93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-6,43%</w:t>
            </w:r>
          </w:p>
        </w:tc>
      </w:tr>
      <w:tr w:rsidR="00534B10">
        <w:tc>
          <w:tcPr>
            <w:tcW w:w="22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Оборонтые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активы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332699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378632</w:t>
            </w:r>
          </w:p>
        </w:tc>
        <w:tc>
          <w:tcPr>
            <w:tcW w:w="83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45933</w:t>
            </w:r>
          </w:p>
        </w:tc>
        <w:tc>
          <w:tcPr>
            <w:tcW w:w="9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70,16%</w:t>
            </w:r>
          </w:p>
        </w:tc>
        <w:tc>
          <w:tcPr>
            <w:tcW w:w="9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73,18%</w:t>
            </w:r>
          </w:p>
        </w:tc>
        <w:tc>
          <w:tcPr>
            <w:tcW w:w="7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3,03%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13,81%</w:t>
            </w:r>
          </w:p>
        </w:tc>
        <w:tc>
          <w:tcPr>
            <w:tcW w:w="93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106,43%</w:t>
            </w:r>
          </w:p>
        </w:tc>
      </w:tr>
      <w:tr w:rsidR="00534B10">
        <w:tc>
          <w:tcPr>
            <w:tcW w:w="22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Итого активов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474232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517391</w:t>
            </w:r>
          </w:p>
        </w:tc>
        <w:tc>
          <w:tcPr>
            <w:tcW w:w="83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43159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100,00%</w:t>
            </w:r>
          </w:p>
        </w:tc>
        <w:tc>
          <w:tcPr>
            <w:tcW w:w="9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100,00%</w:t>
            </w:r>
          </w:p>
        </w:tc>
        <w:tc>
          <w:tcPr>
            <w:tcW w:w="7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0,00%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9,10%</w:t>
            </w:r>
          </w:p>
        </w:tc>
        <w:tc>
          <w:tcPr>
            <w:tcW w:w="93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100,00%</w:t>
            </w:r>
          </w:p>
        </w:tc>
      </w:tr>
      <w:tr w:rsidR="00534B10">
        <w:tc>
          <w:tcPr>
            <w:tcW w:w="22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Соотношения оборотных и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внеоборотных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активов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2,35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2,73</w:t>
            </w:r>
          </w:p>
        </w:tc>
        <w:tc>
          <w:tcPr>
            <w:tcW w:w="83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0,38</w:t>
            </w:r>
          </w:p>
        </w:tc>
        <w:tc>
          <w:tcPr>
            <w:tcW w:w="9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</w:p>
        </w:tc>
        <w:tc>
          <w:tcPr>
            <w:tcW w:w="9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</w:p>
        </w:tc>
      </w:tr>
    </w:tbl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Увеличение коэффициента соотношения оборотных 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внеоборотных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активов объясняется уменьшением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внеоборотных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активов на 2774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т.р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. от всей величины активов, а также ростом оборотных активов на 45933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т.р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. В составе имущества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внеоборотные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активы занимают меньшую долю, удельный вес которых уменьшился с 29,84% до 26,82. Соответствующая доля мобильного имущества возросла с 70,16% до 73,18%.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Далее проведем анализ соотношения активов в 2015г., его результаты представлены в таблице 2.4.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2.4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Анализ соотношения оборотных 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внеоборотных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активов в 2016г.</w:t>
      </w:r>
    </w:p>
    <w:tbl>
      <w:tblPr>
        <w:tblW w:w="0" w:type="auto"/>
        <w:tblInd w:w="103" w:type="dxa"/>
        <w:tblLayout w:type="fixed"/>
        <w:tblLook w:val="0000" w:firstRow="0" w:lastRow="0" w:firstColumn="0" w:lastColumn="0" w:noHBand="0" w:noVBand="0"/>
      </w:tblPr>
      <w:tblGrid>
        <w:gridCol w:w="2153"/>
        <w:gridCol w:w="823"/>
        <w:gridCol w:w="828"/>
        <w:gridCol w:w="816"/>
        <w:gridCol w:w="940"/>
        <w:gridCol w:w="940"/>
        <w:gridCol w:w="888"/>
        <w:gridCol w:w="1128"/>
        <w:gridCol w:w="933"/>
      </w:tblGrid>
      <w:tr w:rsidR="00534B10">
        <w:tc>
          <w:tcPr>
            <w:tcW w:w="2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Показатель</w:t>
            </w:r>
          </w:p>
        </w:tc>
        <w:tc>
          <w:tcPr>
            <w:tcW w:w="2467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Абсолютные величины, тыс. руб.</w:t>
            </w:r>
          </w:p>
        </w:tc>
        <w:tc>
          <w:tcPr>
            <w:tcW w:w="4829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Относительные величины, %</w:t>
            </w:r>
          </w:p>
        </w:tc>
      </w:tr>
      <w:tr w:rsidR="00534B10">
        <w:tc>
          <w:tcPr>
            <w:tcW w:w="2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Изме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нение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2015</w:t>
            </w:r>
          </w:p>
        </w:tc>
        <w:tc>
          <w:tcPr>
            <w:tcW w:w="8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Изме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Нение</w:t>
            </w:r>
            <w:proofErr w:type="spellEnd"/>
          </w:p>
        </w:tc>
        <w:tc>
          <w:tcPr>
            <w:tcW w:w="112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 % к величине  на нач. года</w:t>
            </w:r>
          </w:p>
        </w:tc>
        <w:tc>
          <w:tcPr>
            <w:tcW w:w="93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 % к измен.  итога баланса</w:t>
            </w:r>
          </w:p>
        </w:tc>
      </w:tr>
      <w:tr w:rsidR="00534B10">
        <w:tc>
          <w:tcPr>
            <w:tcW w:w="21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Внеоборотные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активы</w:t>
            </w:r>
          </w:p>
        </w:tc>
        <w:tc>
          <w:tcPr>
            <w:tcW w:w="82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138759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153537</w:t>
            </w:r>
          </w:p>
        </w:tc>
        <w:tc>
          <w:tcPr>
            <w:tcW w:w="8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14778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26,82%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24,09%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-2,73%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10,65%</w:t>
            </w:r>
          </w:p>
        </w:tc>
        <w:tc>
          <w:tcPr>
            <w:tcW w:w="93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12,31%</w:t>
            </w:r>
          </w:p>
        </w:tc>
      </w:tr>
      <w:tr w:rsidR="00534B10">
        <w:tc>
          <w:tcPr>
            <w:tcW w:w="21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Оборонтые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активы</w:t>
            </w:r>
          </w:p>
        </w:tc>
        <w:tc>
          <w:tcPr>
            <w:tcW w:w="82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378632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483928</w:t>
            </w:r>
          </w:p>
        </w:tc>
        <w:tc>
          <w:tcPr>
            <w:tcW w:w="8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105296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73,18%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75,91%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2,73%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27,81%</w:t>
            </w:r>
          </w:p>
        </w:tc>
        <w:tc>
          <w:tcPr>
            <w:tcW w:w="93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87,69%</w:t>
            </w:r>
          </w:p>
        </w:tc>
      </w:tr>
      <w:tr w:rsidR="00534B10">
        <w:tc>
          <w:tcPr>
            <w:tcW w:w="21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Итого активов</w:t>
            </w:r>
          </w:p>
        </w:tc>
        <w:tc>
          <w:tcPr>
            <w:tcW w:w="82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517391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637465</w:t>
            </w:r>
          </w:p>
        </w:tc>
        <w:tc>
          <w:tcPr>
            <w:tcW w:w="8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120074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100,00%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100,00%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0,00%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23,21%</w:t>
            </w:r>
          </w:p>
        </w:tc>
        <w:tc>
          <w:tcPr>
            <w:tcW w:w="93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100,00%</w:t>
            </w:r>
          </w:p>
        </w:tc>
      </w:tr>
      <w:tr w:rsidR="00534B10">
        <w:tc>
          <w:tcPr>
            <w:tcW w:w="21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Коэффициент соотношения оборотных и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внеоборотных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активов</w:t>
            </w:r>
          </w:p>
        </w:tc>
        <w:tc>
          <w:tcPr>
            <w:tcW w:w="82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2,73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3,15</w:t>
            </w:r>
          </w:p>
        </w:tc>
        <w:tc>
          <w:tcPr>
            <w:tcW w:w="8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0,42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</w:p>
        </w:tc>
        <w:tc>
          <w:tcPr>
            <w:tcW w:w="93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</w:p>
        </w:tc>
      </w:tr>
    </w:tbl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2016г. также происходит рост коэффициента соотношения оборотных 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внеоборотных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активов, но рост происходит как оборотных так 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внеоборотных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активов, но рост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внеоборотных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активов медленнее роста оборотных активов.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Внеоборотные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активы выросли всего на 14778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т.р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. а в структуре активов сократились с 26,82% до 24,09%, в то время как оборотные активы выросли на 105296 т. р., а в структуре активов на 2,73%.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Графически структура активов представлена на рисунке 2.2. </w:t>
      </w:r>
    </w:p>
    <w:p w:rsidR="00534B10" w:rsidRDefault="00E6196F">
      <w:pPr>
        <w:widowControl w:val="0"/>
        <w:autoSpaceDE w:val="0"/>
        <w:autoSpaceDN w:val="0"/>
        <w:adjustRightInd w:val="0"/>
        <w:spacing w:after="0" w:line="240" w:lineRule="auto"/>
        <w:ind w:hanging="142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5905500" cy="4076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B10">
        <w:rPr>
          <w:rFonts w:ascii="Times New Roman CYR" w:hAnsi="Times New Roman CYR" w:cs="Times New Roman CYR"/>
          <w:sz w:val="28"/>
          <w:szCs w:val="28"/>
        </w:rPr>
        <w:t xml:space="preserve">Рис. 2.2 Соотношение оборотных и </w:t>
      </w:r>
      <w:proofErr w:type="spellStart"/>
      <w:r w:rsidR="00534B10">
        <w:rPr>
          <w:rFonts w:ascii="Times New Roman CYR" w:hAnsi="Times New Roman CYR" w:cs="Times New Roman CYR"/>
          <w:sz w:val="28"/>
          <w:szCs w:val="28"/>
        </w:rPr>
        <w:t>внеоборотных</w:t>
      </w:r>
      <w:proofErr w:type="spellEnd"/>
      <w:r w:rsidR="00534B10">
        <w:rPr>
          <w:rFonts w:ascii="Times New Roman CYR" w:hAnsi="Times New Roman CYR" w:cs="Times New Roman CYR"/>
          <w:sz w:val="28"/>
          <w:szCs w:val="28"/>
        </w:rPr>
        <w:t xml:space="preserve"> активов,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тыс. руб.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Рисунок 2.2 наглядно показывает, что происходит увеличение доли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оборотных активов. Высокая доля оборотных активов объясняется материалоемкостью продукции.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того, чтобы сделать обоснованные выводы о причинах изменения в структуре имущества, следует провести детальный анализ разделов и отдельных статей актива баланса. Данный анализ будет проведен в следующих параграфах.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.3 Оценка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внеоборотных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активов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Основные средства и нематериальные активы относятся к наименее реализуемому достоянию имуществу предприятия, используемому в его хозяйственной деятельности продолжительное время, в течении которого оно выдерживает свою стоимость на готовый продукт, услугу. Нематериальные активы предполагают собой долговременные вложения средств, никак не обладающие какой-либо натурально-вещественной формы. К нематериальным активам относят стоимость имущественных прав на изобретения и прочие объекты интеллектуальной собственности (авторские права патенты, лицензии, ноу-хау).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Анализ использования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внеоборотных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активов считается действующим средством влияния на эффективность производства. При анализе определяют взаимозависимость результатов от величины затрат и степени применения ресурсов,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обноруживают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закономерности изменения эффективности применения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внеоборотных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активов.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Основными задачами исследования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внеоборотных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активов считается: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исследование состава нематериальных активов;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исследование долгосрочных финансовых вложений;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исследование состава, структуры перемещения основных средств.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Главным направлением деятельности предприятия считаются достижения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наилучших результатов при наименьших затратах. Успешному осуществлению данной проблемы во многом содействует эффективное применение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внеоборотных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активов. Состав и динамика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внеоборотных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активов за 2015 год представлена в таблице 2.5.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Таблица 2.5.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Состав и динамика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внеоборотнных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активов в 2015г.</w:t>
      </w:r>
    </w:p>
    <w:tbl>
      <w:tblPr>
        <w:tblW w:w="0" w:type="auto"/>
        <w:tblInd w:w="103" w:type="dxa"/>
        <w:tblLayout w:type="fixed"/>
        <w:tblLook w:val="0000" w:firstRow="0" w:lastRow="0" w:firstColumn="0" w:lastColumn="0" w:noHBand="0" w:noVBand="0"/>
      </w:tblPr>
      <w:tblGrid>
        <w:gridCol w:w="3549"/>
        <w:gridCol w:w="929"/>
        <w:gridCol w:w="1018"/>
        <w:gridCol w:w="929"/>
        <w:gridCol w:w="1036"/>
        <w:gridCol w:w="1031"/>
        <w:gridCol w:w="847"/>
      </w:tblGrid>
      <w:tr w:rsidR="00534B10">
        <w:tc>
          <w:tcPr>
            <w:tcW w:w="3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Показатель</w:t>
            </w:r>
          </w:p>
        </w:tc>
        <w:tc>
          <w:tcPr>
            <w:tcW w:w="194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2014г.</w:t>
            </w:r>
          </w:p>
        </w:tc>
        <w:tc>
          <w:tcPr>
            <w:tcW w:w="196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2015г.</w:t>
            </w:r>
          </w:p>
        </w:tc>
        <w:tc>
          <w:tcPr>
            <w:tcW w:w="187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Отклонение</w:t>
            </w:r>
          </w:p>
        </w:tc>
      </w:tr>
      <w:tr w:rsidR="00534B10">
        <w:tc>
          <w:tcPr>
            <w:tcW w:w="3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тыс.руб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.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доля,%</w:t>
            </w:r>
          </w:p>
        </w:tc>
        <w:tc>
          <w:tcPr>
            <w:tcW w:w="92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тыс.руб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.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доля,%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тыс.руб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доля,%</w:t>
            </w:r>
          </w:p>
        </w:tc>
      </w:tr>
      <w:tr w:rsidR="00534B10">
        <w:tc>
          <w:tcPr>
            <w:tcW w:w="354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Основные средства</w:t>
            </w:r>
          </w:p>
        </w:tc>
        <w:tc>
          <w:tcPr>
            <w:tcW w:w="92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55991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39,56%</w:t>
            </w:r>
          </w:p>
        </w:tc>
        <w:tc>
          <w:tcPr>
            <w:tcW w:w="92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101705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73,30%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45714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33,74%</w:t>
            </w:r>
          </w:p>
        </w:tc>
      </w:tr>
      <w:tr w:rsidR="00534B10">
        <w:tc>
          <w:tcPr>
            <w:tcW w:w="354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Незавершенное строительство</w:t>
            </w:r>
          </w:p>
        </w:tc>
        <w:tc>
          <w:tcPr>
            <w:tcW w:w="92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76156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53,81%</w:t>
            </w:r>
          </w:p>
        </w:tc>
        <w:tc>
          <w:tcPr>
            <w:tcW w:w="92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26732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19,27%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-49424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-34,54%</w:t>
            </w:r>
          </w:p>
        </w:tc>
      </w:tr>
      <w:tr w:rsidR="00534B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3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Долгосрочные финансовые вложения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9386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6,63%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9386</w:t>
            </w: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6,76%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0,13%</w:t>
            </w:r>
          </w:p>
        </w:tc>
      </w:tr>
      <w:tr w:rsidR="00534B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3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Отложенные налоговые активы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0,00%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936</w:t>
            </w: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0,67%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936</w:t>
            </w: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0,67%</w:t>
            </w:r>
          </w:p>
        </w:tc>
      </w:tr>
      <w:tr w:rsidR="00534B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3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Итого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141533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100,00%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138759</w:t>
            </w: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100,00%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-2774</w:t>
            </w: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0,00%</w:t>
            </w:r>
          </w:p>
        </w:tc>
      </w:tr>
    </w:tbl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структуре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внеоборотных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активов в 2014 г. большую долю занимает незавершенное строительство 53,81% или 76156 тыс. руб., нематериальные активы у предприятия отсутствуют, 39,56% составляют основные средства предприятия. Такое соотношение свидетельствует о намерение расширять производство за счет введения в эксплуатацию новых производственных площадей. В 2015г. в производство введены ранее строящиеся производственные помещения, что привело к резкому изменению соотношения основных средств и незавершенного строительства. Так основные средства выросли с 55991 тыс. руб. до 101705 тыс. руб. и в 2015г. составили 73,3% от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внеоборотных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активов. В то же время незавершенное строительство сократилось до 26732 тыс. руб. или 19,27%.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Никаких изменений в динамики долгосрочных финансовых вложений не произошло, на протяжении всего периода они составляли 9386 тыс. руб., но за счет сокращения других статей долгосрочных активов их доля увеличилась с 6,63% до 6,76%. Данное положение свидетельствует о том, что предприятие не ищет альтернативных источников дохода в виде инвестиций и не расширяет свой инвестиционный портфель.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В 2015г. у предприятия появились отложенные налоговые обязательства, но их доля составила всего 0,67%.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Состав и динамика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внеоборотных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активов за 2016 год представлена в таблице 2.6.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2.6.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Состав и динамика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внеоборотнных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активов в 2016г.</w:t>
      </w:r>
    </w:p>
    <w:tbl>
      <w:tblPr>
        <w:tblW w:w="0" w:type="auto"/>
        <w:tblInd w:w="103" w:type="dxa"/>
        <w:tblLayout w:type="fixed"/>
        <w:tblLook w:val="0000" w:firstRow="0" w:lastRow="0" w:firstColumn="0" w:lastColumn="0" w:noHBand="0" w:noVBand="0"/>
      </w:tblPr>
      <w:tblGrid>
        <w:gridCol w:w="2840"/>
        <w:gridCol w:w="1281"/>
        <w:gridCol w:w="945"/>
        <w:gridCol w:w="1062"/>
        <w:gridCol w:w="1098"/>
        <w:gridCol w:w="1128"/>
        <w:gridCol w:w="1007"/>
      </w:tblGrid>
      <w:tr w:rsidR="00534B10">
        <w:tc>
          <w:tcPr>
            <w:tcW w:w="2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Покзатель</w:t>
            </w:r>
            <w:proofErr w:type="spellEnd"/>
          </w:p>
        </w:tc>
        <w:tc>
          <w:tcPr>
            <w:tcW w:w="222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2015 г.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2016 г.</w:t>
            </w:r>
          </w:p>
        </w:tc>
        <w:tc>
          <w:tcPr>
            <w:tcW w:w="213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Отклонение</w:t>
            </w:r>
          </w:p>
        </w:tc>
      </w:tr>
      <w:tr w:rsidR="00534B10">
        <w:tc>
          <w:tcPr>
            <w:tcW w:w="2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тыс.руб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.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доля,%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тыс.руб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.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доля,%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тыс.руб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.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доля,%</w:t>
            </w:r>
          </w:p>
        </w:tc>
      </w:tr>
      <w:tr w:rsidR="00534B10">
        <w:tc>
          <w:tcPr>
            <w:tcW w:w="2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Основные средства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101705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73,30%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117077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76,25%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15372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2,96%</w:t>
            </w:r>
          </w:p>
        </w:tc>
      </w:tr>
      <w:tr w:rsidR="00534B10">
        <w:tc>
          <w:tcPr>
            <w:tcW w:w="2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Незавершенное строительство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26732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19,27%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23194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15,11%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-3538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-4,16%</w:t>
            </w:r>
          </w:p>
        </w:tc>
      </w:tr>
      <w:tr w:rsidR="00534B10">
        <w:tc>
          <w:tcPr>
            <w:tcW w:w="2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Долгосрочные финансовые вложения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9386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6,76%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13266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8,64%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3880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1,88%</w:t>
            </w:r>
          </w:p>
        </w:tc>
      </w:tr>
      <w:tr w:rsidR="00534B10">
        <w:tc>
          <w:tcPr>
            <w:tcW w:w="2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Отложенные налоговые активы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936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0,67%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0,00%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-936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-0,67%</w:t>
            </w:r>
          </w:p>
        </w:tc>
      </w:tr>
      <w:tr w:rsidR="00534B10">
        <w:tc>
          <w:tcPr>
            <w:tcW w:w="2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Итого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138759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100,00%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153537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100,00%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14778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0,00%</w:t>
            </w:r>
          </w:p>
        </w:tc>
      </w:tr>
    </w:tbl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период с 2015г. по 2016г. существенных изменений в структуре не наблюдается, что говорит о стабильной политике предприятия. Основные средства выросли не значительно с 101705 тыс. руб. до 117077 тыс. руб., а в структуре долгосрочных активов они увеличили свою долю на 2,96%. В связи с окончанием ремонтных работ сократилась величина незавершенного строительства, его доля упала на 4,16%. Незначительно выросла доля долгосрочных финансовых вложений и в 2016г. их доля составила 8,64%.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Рассмотрим более подробно структуру долгосрочных финансовых вложений, согласно рисунка 2.7.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2.7.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Структура долгосрочных вложений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536"/>
        <w:gridCol w:w="1297"/>
        <w:gridCol w:w="1134"/>
        <w:gridCol w:w="1134"/>
        <w:gridCol w:w="1134"/>
        <w:gridCol w:w="992"/>
        <w:gridCol w:w="1134"/>
      </w:tblGrid>
      <w:tr w:rsidR="00534B10">
        <w:trPr>
          <w:jc w:val="center"/>
        </w:trPr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Показатель</w:t>
            </w:r>
          </w:p>
        </w:tc>
        <w:tc>
          <w:tcPr>
            <w:tcW w:w="243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2014г.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2015г.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2016г.</w:t>
            </w:r>
          </w:p>
        </w:tc>
      </w:tr>
      <w:tr w:rsidR="00534B10">
        <w:trPr>
          <w:jc w:val="center"/>
        </w:trPr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тыс.руб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доля,%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тыс.руб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доля,%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доля,%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доля,%</w:t>
            </w:r>
          </w:p>
        </w:tc>
      </w:tr>
      <w:tr w:rsidR="00534B10">
        <w:trPr>
          <w:jc w:val="center"/>
        </w:trPr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Вклады в уставные капиталы других организаций -всего</w:t>
            </w:r>
          </w:p>
        </w:tc>
        <w:tc>
          <w:tcPr>
            <w:tcW w:w="129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8676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92,44%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8676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92,44%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12570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94,76%</w:t>
            </w:r>
          </w:p>
        </w:tc>
      </w:tr>
      <w:tr w:rsidR="00534B10">
        <w:trPr>
          <w:jc w:val="center"/>
        </w:trPr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в том числе дочерних и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зависимых хозяйственных обществ</w:t>
            </w:r>
          </w:p>
        </w:tc>
        <w:tc>
          <w:tcPr>
            <w:tcW w:w="129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8676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92,44%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8676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92,44%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12570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94,76%</w:t>
            </w:r>
          </w:p>
        </w:tc>
      </w:tr>
      <w:tr w:rsidR="00534B10">
        <w:trPr>
          <w:jc w:val="center"/>
        </w:trPr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Государственные и муниципальные ценные бумаги</w:t>
            </w:r>
          </w:p>
        </w:tc>
        <w:tc>
          <w:tcPr>
            <w:tcW w:w="129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686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7,31%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686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7,31%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686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5,17%</w:t>
            </w:r>
          </w:p>
        </w:tc>
      </w:tr>
    </w:tbl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Из данных таблицы 2.7 видно, что изменения как в структуре, так в динамики долгосрочных активов не произошло. Наибольшую долю занимают вклады в уставные капиталы других организаций.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Особое внимание уделяется изучению состояния, структуры и динамики основных средств, так как они занимают большой удельный вес в долгосрочных активах предприятия.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Изменение суммы по этой статье может произойти как за счет увеличения (уменьшения) количества машин, оборудования, зданий, сооружений, так и за счет повышения их стоимости по вновь приобретенным фондам и переоценки старых в связи с инфляцией.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Анализ основных средств за 2014г. представлен в таблице 2.8.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2.8.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Анализ основных средств в 2014г.</w:t>
      </w:r>
    </w:p>
    <w:tbl>
      <w:tblPr>
        <w:tblW w:w="0" w:type="auto"/>
        <w:tblInd w:w="103" w:type="dxa"/>
        <w:tblLayout w:type="fixed"/>
        <w:tblLook w:val="0000" w:firstRow="0" w:lastRow="0" w:firstColumn="0" w:lastColumn="0" w:noHBand="0" w:noVBand="0"/>
      </w:tblPr>
      <w:tblGrid>
        <w:gridCol w:w="1565"/>
        <w:gridCol w:w="960"/>
        <w:gridCol w:w="876"/>
        <w:gridCol w:w="825"/>
        <w:gridCol w:w="1005"/>
        <w:gridCol w:w="1005"/>
        <w:gridCol w:w="895"/>
        <w:gridCol w:w="1096"/>
        <w:gridCol w:w="992"/>
      </w:tblGrid>
      <w:tr w:rsidR="00534B10"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Показатель</w:t>
            </w:r>
          </w:p>
        </w:tc>
        <w:tc>
          <w:tcPr>
            <w:tcW w:w="2661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Абсолютные величины, тыс. руб.</w:t>
            </w:r>
          </w:p>
        </w:tc>
        <w:tc>
          <w:tcPr>
            <w:tcW w:w="4993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Относительные величины, %</w:t>
            </w:r>
          </w:p>
        </w:tc>
      </w:tr>
      <w:tr w:rsidR="00534B10"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 нач.  года</w:t>
            </w:r>
          </w:p>
        </w:tc>
        <w:tc>
          <w:tcPr>
            <w:tcW w:w="8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 конец года</w:t>
            </w:r>
          </w:p>
        </w:tc>
        <w:tc>
          <w:tcPr>
            <w:tcW w:w="8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Изме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нение</w:t>
            </w:r>
            <w:proofErr w:type="spellEnd"/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 нач.  года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 конец  года</w:t>
            </w:r>
          </w:p>
        </w:tc>
        <w:tc>
          <w:tcPr>
            <w:tcW w:w="8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Изме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нение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 % к величине  на нач. года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 % к измен.  итога баланса</w:t>
            </w:r>
          </w:p>
        </w:tc>
      </w:tr>
      <w:tr w:rsidR="00534B10">
        <w:tc>
          <w:tcPr>
            <w:tcW w:w="15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Здания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17626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18699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1073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12,95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13,90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0,94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-71,53</w:t>
            </w:r>
          </w:p>
        </w:tc>
      </w:tr>
      <w:tr w:rsidR="00534B10">
        <w:tc>
          <w:tcPr>
            <w:tcW w:w="15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Сооружения и передаточные устройства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11586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11551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-35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8,52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8,58</w:t>
            </w:r>
          </w:p>
        </w:tc>
        <w:tc>
          <w:tcPr>
            <w:tcW w:w="8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-0,30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2,33</w:t>
            </w:r>
          </w:p>
        </w:tc>
      </w:tr>
      <w:tr w:rsidR="00534B10">
        <w:tc>
          <w:tcPr>
            <w:tcW w:w="15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Машины и оборудование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98105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95859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-2246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72,11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71,24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-0,87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-2,29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149,73</w:t>
            </w:r>
          </w:p>
        </w:tc>
      </w:tr>
      <w:tr w:rsidR="00534B10">
        <w:tc>
          <w:tcPr>
            <w:tcW w:w="15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Транспортные средства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8422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8130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-292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6,19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6,04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-0,15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-3,47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19,47</w:t>
            </w:r>
          </w:p>
        </w:tc>
      </w:tr>
      <w:tr w:rsidR="00534B10">
        <w:tc>
          <w:tcPr>
            <w:tcW w:w="15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Производственный и хозяйственный инвентарь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317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317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0,23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0,24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</w:t>
            </w:r>
          </w:p>
        </w:tc>
      </w:tr>
      <w:tr w:rsidR="00534B10">
        <w:tc>
          <w:tcPr>
            <w:tcW w:w="15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Итого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136056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134556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-1500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100,00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100,00</w:t>
            </w:r>
          </w:p>
        </w:tc>
      </w:tr>
    </w:tbl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Как видно из таблицы 2.8., на начало 2014 года на балансе организации числилось основных средств на сумму 136056 тыс. руб. Наибольшую долю занимали машины и сооружения (72,11%). За год стоимость основных фондов уменьшилась на 1500 тыс. руб. причем уменьшения произошли в стоимости машин и оборудования (уменьшение на 2246 тыс. руб.) и транспортных средств, стоимость которых уменьшилась на 292 тыс. рублей или на 0,15 % в структуре основных средств.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Анализ основных средств за 2015г. представлен в таблице 2.9.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2.9.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Анализ основных средств в 2015г.</w:t>
      </w: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8"/>
        <w:gridCol w:w="943"/>
        <w:gridCol w:w="887"/>
        <w:gridCol w:w="930"/>
        <w:gridCol w:w="1085"/>
        <w:gridCol w:w="1085"/>
        <w:gridCol w:w="964"/>
        <w:gridCol w:w="1196"/>
      </w:tblGrid>
      <w:tr w:rsidR="00534B10">
        <w:tc>
          <w:tcPr>
            <w:tcW w:w="2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Показатель</w:t>
            </w:r>
          </w:p>
        </w:tc>
        <w:tc>
          <w:tcPr>
            <w:tcW w:w="27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Абсолютные величины, тыс. руб.</w:t>
            </w:r>
          </w:p>
        </w:tc>
        <w:tc>
          <w:tcPr>
            <w:tcW w:w="43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Относительные величины, %</w:t>
            </w:r>
          </w:p>
        </w:tc>
      </w:tr>
      <w:tr w:rsidR="00534B10">
        <w:tc>
          <w:tcPr>
            <w:tcW w:w="2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 нач.  года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 конец года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Изме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нение</w:t>
            </w:r>
            <w:proofErr w:type="spellEnd"/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 нач.  года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 конец  года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Изме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нение</w:t>
            </w:r>
            <w:proofErr w:type="spellEnd"/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 % к  на нач. года</w:t>
            </w:r>
          </w:p>
        </w:tc>
      </w:tr>
      <w:tr w:rsidR="00534B10">
        <w:tc>
          <w:tcPr>
            <w:tcW w:w="2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Здания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18318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62936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44618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13,61%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32,90%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19,29%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243,57%</w:t>
            </w:r>
          </w:p>
        </w:tc>
      </w:tr>
      <w:tr w:rsidR="00534B10">
        <w:tc>
          <w:tcPr>
            <w:tcW w:w="2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Сооружения и устройства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11925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12080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155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8,86%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6,31%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-2,55%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1,30%</w:t>
            </w:r>
          </w:p>
        </w:tc>
      </w:tr>
      <w:tr w:rsidR="00534B10">
        <w:tc>
          <w:tcPr>
            <w:tcW w:w="2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Машины и оборудование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95859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98221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2362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71,24%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51,35%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-19,90%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2,46%</w:t>
            </w:r>
          </w:p>
        </w:tc>
      </w:tr>
      <w:tr w:rsidR="00534B10">
        <w:tc>
          <w:tcPr>
            <w:tcW w:w="2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Транспортные средства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8130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7782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-348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6,04%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4,07%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-1,97%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-4,28%</w:t>
            </w:r>
          </w:p>
        </w:tc>
      </w:tr>
      <w:tr w:rsidR="00534B10">
        <w:tc>
          <w:tcPr>
            <w:tcW w:w="2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Производственный и хозяйственный инвентарь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323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452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129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0,24%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0,24%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0,00%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39,94%</w:t>
            </w:r>
          </w:p>
        </w:tc>
      </w:tr>
      <w:tr w:rsidR="00534B10">
        <w:tc>
          <w:tcPr>
            <w:tcW w:w="2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Земельные участки и объекты природопользования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9822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9822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0,00%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5,13%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5,13%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</w:p>
        </w:tc>
      </w:tr>
      <w:tr w:rsidR="00534B10">
        <w:tc>
          <w:tcPr>
            <w:tcW w:w="2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Итого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134555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191293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56738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100,00%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100,00%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0,00%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42,17%</w:t>
            </w:r>
          </w:p>
        </w:tc>
      </w:tr>
    </w:tbl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2015г. сокращение происходит только в статье «транспортные средства» на 348 тыс. руб. По остальным составляющим основных средств наблюдается увеличение. Уменьшенные доли статьи «машины и оборудование» в общем составе основных средств свидетельствует о сокращении активной части основных производственных фондов предприятия в 2015 году. Резкое увеличение статьи «здания» на 44618 тыс. руб. ( в структуре основных средств они составили 32,9% по сравнению с 13,61% прошлого периода) связано с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вводом в эксплуатацию новых производственных помещений.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2.10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Анализ основных средств в 2016г.</w:t>
      </w: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50"/>
        <w:gridCol w:w="720"/>
        <w:gridCol w:w="720"/>
        <w:gridCol w:w="627"/>
        <w:gridCol w:w="1010"/>
        <w:gridCol w:w="790"/>
        <w:gridCol w:w="679"/>
        <w:gridCol w:w="1152"/>
        <w:gridCol w:w="1142"/>
      </w:tblGrid>
      <w:tr w:rsidR="00534B10"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Показатель</w:t>
            </w:r>
          </w:p>
        </w:tc>
        <w:tc>
          <w:tcPr>
            <w:tcW w:w="20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Абсолютные величины, тыс. руб.</w:t>
            </w:r>
          </w:p>
        </w:tc>
        <w:tc>
          <w:tcPr>
            <w:tcW w:w="477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Относительные величины, %</w:t>
            </w:r>
          </w:p>
        </w:tc>
      </w:tr>
      <w:tr w:rsidR="00534B10">
        <w:tc>
          <w:tcPr>
            <w:tcW w:w="25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 нач.  года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 конец года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Изме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нение</w:t>
            </w:r>
            <w:proofErr w:type="spellEnd"/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 нач. года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 конец года</w:t>
            </w:r>
          </w:p>
        </w:tc>
        <w:tc>
          <w:tcPr>
            <w:tcW w:w="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Изме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Нение</w:t>
            </w:r>
            <w:proofErr w:type="spellEnd"/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 % к величине  на нач. года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 % к измен. итога баланса</w:t>
            </w:r>
          </w:p>
        </w:tc>
      </w:tr>
      <w:tr w:rsidR="00534B10"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Здания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62936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76808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13872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32,90%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35,94%</w:t>
            </w:r>
          </w:p>
        </w:tc>
        <w:tc>
          <w:tcPr>
            <w:tcW w:w="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3,04%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22,04%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61,90%</w:t>
            </w:r>
          </w:p>
        </w:tc>
      </w:tr>
      <w:tr w:rsidR="00534B10"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Сооружения и передаточные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устойства</w:t>
            </w:r>
            <w:proofErr w:type="spellEnd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12080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11703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-377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6,31%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5,48%</w:t>
            </w:r>
          </w:p>
        </w:tc>
        <w:tc>
          <w:tcPr>
            <w:tcW w:w="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-0,84%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-3,12%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-1,68%</w:t>
            </w:r>
          </w:p>
        </w:tc>
      </w:tr>
      <w:tr w:rsidR="00534B10"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Машины и оборудование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98221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106849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8628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51,35%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50,00%</w:t>
            </w:r>
          </w:p>
        </w:tc>
        <w:tc>
          <w:tcPr>
            <w:tcW w:w="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-1,35%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8,78%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38,50%</w:t>
            </w:r>
          </w:p>
        </w:tc>
      </w:tr>
      <w:tr w:rsidR="00534B10"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Транспортные средства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7782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7803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21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4,07%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3,65%</w:t>
            </w:r>
          </w:p>
        </w:tc>
        <w:tc>
          <w:tcPr>
            <w:tcW w:w="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-0,42%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0,27%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0,09%</w:t>
            </w:r>
          </w:p>
        </w:tc>
      </w:tr>
      <w:tr w:rsidR="00534B10"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Производственный и хозяйственный инвентарь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452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719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267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0,24%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0,34%</w:t>
            </w:r>
          </w:p>
        </w:tc>
        <w:tc>
          <w:tcPr>
            <w:tcW w:w="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0,10%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59,07%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1,19%</w:t>
            </w:r>
          </w:p>
        </w:tc>
      </w:tr>
      <w:tr w:rsidR="00534B10"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Земельные участки и объекты природопользования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9822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9822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5,13%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4,60%</w:t>
            </w:r>
          </w:p>
        </w:tc>
        <w:tc>
          <w:tcPr>
            <w:tcW w:w="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-0,54%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0,00%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0,00%</w:t>
            </w:r>
          </w:p>
        </w:tc>
      </w:tr>
      <w:tr w:rsidR="00534B10"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Итого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191293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213704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22411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100,00%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100,00%</w:t>
            </w:r>
          </w:p>
        </w:tc>
        <w:tc>
          <w:tcPr>
            <w:tcW w:w="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0,00%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11,72%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100,00%</w:t>
            </w:r>
          </w:p>
        </w:tc>
      </w:tr>
    </w:tbl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Данные таблицы показывают, что в 2016г. снизилась стоимость только сооружений и передаточных устройств на 377 тыс. руб., по всем остальным статьям происходит рост, причем наибольшее увеличение произошло по статье здания и составило 13872 тыс. руб., стоимость машин и оборудования выросла на 8628 тыс. руб. По остальным статьям рост незначительный. Наибольший удельный вес занимают машины и оборудование, они составили на конец года ровно 50% от стоимости основных средств, около 36% занимают здания, такой расклад объясняется спецификой производства и характеризует продукцию как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станкоемкую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.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 целью выявления направлений повышения экономической эффективности использования действующих основных фондов, изучения влияния различных факторов на изменение качественных показателей, в той или иной степени связанных с использованием основных фондов, необходимо подвергнуть их всестороннему анализу.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Рассчитаем коэффициенты обновления, износа, годности, интенсивности обновления, выбытия основных средств, коэффициент реальной стоимости основных средств в имуществе организации, а также срок обновления и износа основных средств.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качестве исходных данных составим таблицы 2.11 движения основных средств за 2014г. и 2015г.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2.11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Движение основных средств в 2014г.</w:t>
      </w: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45"/>
        <w:gridCol w:w="1400"/>
        <w:gridCol w:w="1264"/>
        <w:gridCol w:w="993"/>
        <w:gridCol w:w="1340"/>
      </w:tblGrid>
      <w:tr w:rsidR="00534B10">
        <w:tc>
          <w:tcPr>
            <w:tcW w:w="4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Показатель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 начало года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Поступило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Выбыло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 конец года</w:t>
            </w:r>
          </w:p>
        </w:tc>
      </w:tr>
      <w:tr w:rsidR="00534B10">
        <w:tc>
          <w:tcPr>
            <w:tcW w:w="4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Здания, тыс. руб.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17626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1453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-380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18699</w:t>
            </w:r>
          </w:p>
        </w:tc>
      </w:tr>
      <w:tr w:rsidR="00534B10">
        <w:tc>
          <w:tcPr>
            <w:tcW w:w="4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Сооружения и передаточные устройства, тыс. руб.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11586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-243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11551</w:t>
            </w:r>
          </w:p>
        </w:tc>
      </w:tr>
      <w:tr w:rsidR="00534B10">
        <w:tc>
          <w:tcPr>
            <w:tcW w:w="4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Машины и оборудование, тыс. руб.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98105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11037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-13283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95859</w:t>
            </w:r>
          </w:p>
        </w:tc>
      </w:tr>
      <w:tr w:rsidR="00534B10">
        <w:tc>
          <w:tcPr>
            <w:tcW w:w="4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Транспортные средства, тыс. руб.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8422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563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-856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8130</w:t>
            </w:r>
          </w:p>
        </w:tc>
      </w:tr>
      <w:tr w:rsidR="00534B10">
        <w:tc>
          <w:tcPr>
            <w:tcW w:w="4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Производственный и хозяйственный инвентарь, тыс. руб.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317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317</w:t>
            </w:r>
          </w:p>
        </w:tc>
      </w:tr>
      <w:tr w:rsidR="00534B10">
        <w:tc>
          <w:tcPr>
            <w:tcW w:w="4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Земельные участки и объекты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прир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-я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</w:tr>
      <w:tr w:rsidR="00534B10">
        <w:tc>
          <w:tcPr>
            <w:tcW w:w="4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Итого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136057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13261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-14762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134556</w:t>
            </w:r>
          </w:p>
        </w:tc>
      </w:tr>
    </w:tbl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2.12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Движение основных средств в 2015г.</w:t>
      </w:r>
    </w:p>
    <w:tbl>
      <w:tblPr>
        <w:tblW w:w="0" w:type="auto"/>
        <w:tblInd w:w="103" w:type="dxa"/>
        <w:tblLayout w:type="fixed"/>
        <w:tblLook w:val="0000" w:firstRow="0" w:lastRow="0" w:firstColumn="0" w:lastColumn="0" w:noHBand="0" w:noVBand="0"/>
      </w:tblPr>
      <w:tblGrid>
        <w:gridCol w:w="4400"/>
        <w:gridCol w:w="1276"/>
        <w:gridCol w:w="1151"/>
        <w:gridCol w:w="1117"/>
        <w:gridCol w:w="1340"/>
      </w:tblGrid>
      <w:tr w:rsidR="00534B10">
        <w:tc>
          <w:tcPr>
            <w:tcW w:w="4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Показатель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 начало года</w:t>
            </w:r>
          </w:p>
        </w:tc>
        <w:tc>
          <w:tcPr>
            <w:tcW w:w="11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Поступило</w:t>
            </w:r>
          </w:p>
        </w:tc>
        <w:tc>
          <w:tcPr>
            <w:tcW w:w="111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Выбыло</w:t>
            </w:r>
          </w:p>
        </w:tc>
        <w:tc>
          <w:tcPr>
            <w:tcW w:w="13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 конец года</w:t>
            </w:r>
          </w:p>
        </w:tc>
      </w:tr>
      <w:tr w:rsidR="00534B10">
        <w:tc>
          <w:tcPr>
            <w:tcW w:w="4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Здания, тыс. руб.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18318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44618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62936</w:t>
            </w:r>
          </w:p>
        </w:tc>
      </w:tr>
      <w:tr w:rsidR="00534B10">
        <w:tc>
          <w:tcPr>
            <w:tcW w:w="4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Сооружения и передаточные устройства, тыс. руб.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11925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12080</w:t>
            </w:r>
          </w:p>
        </w:tc>
      </w:tr>
      <w:tr w:rsidR="00534B10">
        <w:tc>
          <w:tcPr>
            <w:tcW w:w="4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Машины и оборудование, тыс. руб.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95859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2913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-551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98221</w:t>
            </w:r>
          </w:p>
        </w:tc>
      </w:tr>
      <w:tr w:rsidR="00534B10">
        <w:tc>
          <w:tcPr>
            <w:tcW w:w="4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Транспортные средства, тыс. руб.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8130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535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-883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7782</w:t>
            </w:r>
          </w:p>
        </w:tc>
      </w:tr>
      <w:tr w:rsidR="00534B10">
        <w:tc>
          <w:tcPr>
            <w:tcW w:w="4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Производственный и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хозинвентарь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323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178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-49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452</w:t>
            </w:r>
          </w:p>
        </w:tc>
      </w:tr>
      <w:tr w:rsidR="00534B10">
        <w:tc>
          <w:tcPr>
            <w:tcW w:w="4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Земельные участки и объекты природопользования, тыс. руб.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9822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9822</w:t>
            </w:r>
          </w:p>
        </w:tc>
      </w:tr>
      <w:tr w:rsidR="00534B10">
        <w:tc>
          <w:tcPr>
            <w:tcW w:w="4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Итого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134555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58221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-1483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191293</w:t>
            </w:r>
          </w:p>
        </w:tc>
      </w:tr>
    </w:tbl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2.13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Движение основных средств в 2016г.</w:t>
      </w:r>
    </w:p>
    <w:tbl>
      <w:tblPr>
        <w:tblW w:w="0" w:type="auto"/>
        <w:tblInd w:w="103" w:type="dxa"/>
        <w:tblLayout w:type="fixed"/>
        <w:tblLook w:val="0000" w:firstRow="0" w:lastRow="0" w:firstColumn="0" w:lastColumn="0" w:noHBand="0" w:noVBand="0"/>
      </w:tblPr>
      <w:tblGrid>
        <w:gridCol w:w="4145"/>
        <w:gridCol w:w="1400"/>
        <w:gridCol w:w="1151"/>
        <w:gridCol w:w="964"/>
        <w:gridCol w:w="1340"/>
      </w:tblGrid>
      <w:tr w:rsidR="00534B10">
        <w:tc>
          <w:tcPr>
            <w:tcW w:w="4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Показатель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 начало года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Поступило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Выбыло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 конец года</w:t>
            </w:r>
          </w:p>
        </w:tc>
      </w:tr>
      <w:tr w:rsidR="00534B10">
        <w:tc>
          <w:tcPr>
            <w:tcW w:w="4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Здания, тыс. руб.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62936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13872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76808</w:t>
            </w:r>
          </w:p>
        </w:tc>
      </w:tr>
      <w:tr w:rsidR="00534B10">
        <w:tc>
          <w:tcPr>
            <w:tcW w:w="4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Сооружения и передаточные устройства, тыс. руб.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12080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-397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11703</w:t>
            </w:r>
          </w:p>
        </w:tc>
      </w:tr>
      <w:tr w:rsidR="00534B10">
        <w:tc>
          <w:tcPr>
            <w:tcW w:w="4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Машины и оборудование, тыс. руб.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98221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15413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-6785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106849</w:t>
            </w:r>
          </w:p>
        </w:tc>
      </w:tr>
      <w:tr w:rsidR="00534B10">
        <w:tc>
          <w:tcPr>
            <w:tcW w:w="41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Транспортные средства, тыс. руб.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7782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163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-142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7803</w:t>
            </w:r>
          </w:p>
        </w:tc>
      </w:tr>
      <w:tr w:rsidR="00534B10">
        <w:tc>
          <w:tcPr>
            <w:tcW w:w="4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Производственный и хозяйственный инвентарь, тыс. руб.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452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327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-60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719</w:t>
            </w:r>
          </w:p>
        </w:tc>
      </w:tr>
      <w:tr w:rsidR="00534B10">
        <w:tc>
          <w:tcPr>
            <w:tcW w:w="4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Земельные участки и объекты природопользования, тыс. руб.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9822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-7384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9822</w:t>
            </w:r>
          </w:p>
        </w:tc>
      </w:tr>
      <w:tr w:rsidR="00534B10">
        <w:tc>
          <w:tcPr>
            <w:tcW w:w="4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Итого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191293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29795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213704</w:t>
            </w:r>
          </w:p>
        </w:tc>
      </w:tr>
    </w:tbl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Коэффициент обновления можно рассчитать по формуле: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34B10" w:rsidRDefault="00E6196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847725" cy="4476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B10">
        <w:rPr>
          <w:rFonts w:ascii="Times New Roman CYR" w:hAnsi="Times New Roman CYR" w:cs="Times New Roman CYR"/>
          <w:sz w:val="28"/>
          <w:szCs w:val="28"/>
        </w:rPr>
        <w:t>, (1)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Где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Св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 стоимость основных фондов, введенных в эксплуатацию в течении года;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Скг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 стоимость основных фондов на конец года.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Для полной характеристики степени обновления основных фондов исчисляют коэффициент по каждому виду и производят сравнения коэффициентов обновления за несколько лет.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Срок обновления основных средств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 w:rsidR="00E6196F"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828675" cy="4476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>, (2)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Снг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 стоимость основных фондов на начало года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Движения основных фондов можно определить с помощью коэффициента выбытия, он равен: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534B10" w:rsidRDefault="00E6196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800100" cy="4476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B10">
        <w:rPr>
          <w:rFonts w:ascii="Times New Roman CYR" w:hAnsi="Times New Roman CYR" w:cs="Times New Roman CYR"/>
          <w:sz w:val="28"/>
          <w:szCs w:val="28"/>
        </w:rPr>
        <w:t>, (3)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Где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Свыб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 выбывшие за отчетный год основные фонды,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Скг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 стоимость основных фондов на конец года.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Оценка состояния основных фондов определяется коэффициентом их изношенности, характеризующем техническое состояние основных фондов.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Если повышается коэффициент износа, то это свидетельствует о том, что качественные состояния основных фондов снижается и они не достаточно обновляются, показатель износа исчисляется как на начале, так и на конце отчетного периода по следующей формуле: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534B10" w:rsidRDefault="00E6196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838200" cy="3905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B10">
        <w:rPr>
          <w:rFonts w:ascii="Times New Roman CYR" w:hAnsi="Times New Roman CYR" w:cs="Times New Roman CYR"/>
          <w:sz w:val="28"/>
          <w:szCs w:val="28"/>
        </w:rPr>
        <w:t>, (4)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Где АОС - амортизация основных средств;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 - первоначальная стоимость.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Коэффициент годности основных средств: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534B10" w:rsidRDefault="00E6196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914400" cy="228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B10">
        <w:rPr>
          <w:rFonts w:ascii="Times New Roman CYR" w:hAnsi="Times New Roman CYR" w:cs="Times New Roman CYR"/>
          <w:sz w:val="28"/>
          <w:szCs w:val="28"/>
        </w:rPr>
        <w:t>, (5)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Коэффициент интенсивности обновления основных фондов отражает относительное увеличение основных фондов за счёт их обновления.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534B10" w:rsidRDefault="00E6196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790575" cy="4476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B10">
        <w:rPr>
          <w:rFonts w:ascii="Times New Roman CYR" w:hAnsi="Times New Roman CYR" w:cs="Times New Roman CYR"/>
          <w:sz w:val="28"/>
          <w:szCs w:val="28"/>
        </w:rPr>
        <w:t>, (6)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Коэффициент реальной стоимости основных средств в имуществе предприятия: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534B10" w:rsidRDefault="00E6196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714375" cy="4476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B10">
        <w:rPr>
          <w:rFonts w:ascii="Times New Roman CYR" w:hAnsi="Times New Roman CYR" w:cs="Times New Roman CYR"/>
          <w:sz w:val="28"/>
          <w:szCs w:val="28"/>
        </w:rPr>
        <w:t>, (7)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Сос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- среднегодовая остаточная стоимость основных средств;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Си- стоимость всех основных средств.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оценки эффективности использования основных фондов используются такие показатели как: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.Фондоотдача (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Фо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) это отношение стоимости товарной продукции к среднегодовой стоимости основных фондов.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Этот показатель показывает сколько рублей товарной продукции получено на каждый рубль, вложенный в основные фонды. В динамике фондоотдача должна увеличиться, если фонды используются эффективно.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Фондоемкость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(Фе) является обратным показателем фондоотдачи. Показывает сколько копеек затрат в основных фондах содержится в каждом рубле товарной продукции. В динамике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фондоёмкость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должна изменяться.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Фондовооруженность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определяется как отношение среднегодовой стоимости всех основных средств к среднесписочному количеству работающих на предприятии.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.Наиболее обобщающим показателем эффективности использования основных, фондов является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фондорентабельность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 Ее уровень зависит не только от фондоотдачи, но и от рентабельности продукции. Она рассчитывается как отношение прибыли от продажи продукции к стоимости основных средств.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Относительная экономия использования основных средств: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534B10" w:rsidRDefault="00E6196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838325" cy="2000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B10">
        <w:rPr>
          <w:rFonts w:ascii="Times New Roman CYR" w:hAnsi="Times New Roman CYR" w:cs="Times New Roman CYR"/>
          <w:sz w:val="28"/>
          <w:szCs w:val="28"/>
        </w:rPr>
        <w:t>, (8)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Где, ОФ-стоимость основных средств в отчетном и базисном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периоде;объем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выпуска продукции в отчетном и базисном периоде.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2.14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Анализ состояния и эффективности использования основных средств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296"/>
        <w:gridCol w:w="961"/>
        <w:gridCol w:w="1061"/>
        <w:gridCol w:w="1061"/>
        <w:gridCol w:w="1161"/>
        <w:gridCol w:w="1061"/>
        <w:gridCol w:w="1028"/>
        <w:gridCol w:w="833"/>
      </w:tblGrid>
      <w:tr w:rsidR="00534B10">
        <w:tc>
          <w:tcPr>
            <w:tcW w:w="2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Показатель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2014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2015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2016</w:t>
            </w:r>
          </w:p>
        </w:tc>
        <w:tc>
          <w:tcPr>
            <w:tcW w:w="22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Отклонение</w:t>
            </w:r>
          </w:p>
        </w:tc>
        <w:tc>
          <w:tcPr>
            <w:tcW w:w="18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Темп роста,%</w:t>
            </w:r>
          </w:p>
        </w:tc>
      </w:tr>
      <w:tr w:rsidR="00534B10">
        <w:tc>
          <w:tcPr>
            <w:tcW w:w="2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2014 /2015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2015 /2016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2014 /2015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2015 /2016</w:t>
            </w:r>
          </w:p>
        </w:tc>
      </w:tr>
      <w:tr w:rsidR="00534B10">
        <w:tc>
          <w:tcPr>
            <w:tcW w:w="2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Коэффициент износа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0,5774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0,6658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0,5067</w:t>
            </w:r>
          </w:p>
        </w:tc>
        <w:tc>
          <w:tcPr>
            <w:tcW w:w="1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0,0884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-0,1591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115,31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76,10</w:t>
            </w:r>
          </w:p>
        </w:tc>
      </w:tr>
      <w:tr w:rsidR="00534B10">
        <w:tc>
          <w:tcPr>
            <w:tcW w:w="2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Коэффициент годности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0,4226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0,3342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0,4933</w:t>
            </w:r>
          </w:p>
        </w:tc>
        <w:tc>
          <w:tcPr>
            <w:tcW w:w="1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-0,0884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0,1591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79,08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147,61</w:t>
            </w:r>
          </w:p>
        </w:tc>
      </w:tr>
      <w:tr w:rsidR="00534B10">
        <w:tc>
          <w:tcPr>
            <w:tcW w:w="2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Коэффициент обновления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0,0986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0,3044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0,1394</w:t>
            </w:r>
          </w:p>
        </w:tc>
        <w:tc>
          <w:tcPr>
            <w:tcW w:w="1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0,2058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-0,1650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308,72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45,80%</w:t>
            </w:r>
          </w:p>
        </w:tc>
      </w:tr>
      <w:tr w:rsidR="00534B10">
        <w:tc>
          <w:tcPr>
            <w:tcW w:w="2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Срок обновления 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10,2599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2,3111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6,4203</w:t>
            </w:r>
          </w:p>
        </w:tc>
        <w:tc>
          <w:tcPr>
            <w:tcW w:w="1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-7,9488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4,1092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22,53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277,80</w:t>
            </w:r>
          </w:p>
        </w:tc>
      </w:tr>
      <w:tr w:rsidR="00534B10">
        <w:tc>
          <w:tcPr>
            <w:tcW w:w="2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Коэффициент интенсивности обновления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0,8983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39,2589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4,0351</w:t>
            </w:r>
          </w:p>
        </w:tc>
        <w:tc>
          <w:tcPr>
            <w:tcW w:w="1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38,3606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-35,2238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4370,36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10,28</w:t>
            </w:r>
          </w:p>
        </w:tc>
      </w:tr>
      <w:tr w:rsidR="00534B10">
        <w:tc>
          <w:tcPr>
            <w:tcW w:w="2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Коэффициент выбытия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0,1085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0,0110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0,0346</w:t>
            </w:r>
          </w:p>
        </w:tc>
        <w:tc>
          <w:tcPr>
            <w:tcW w:w="1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-0,0975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0,0236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10,14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314,11</w:t>
            </w:r>
          </w:p>
        </w:tc>
      </w:tr>
      <w:tr w:rsidR="00534B10">
        <w:tc>
          <w:tcPr>
            <w:tcW w:w="2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Коэффициент реальной стоимости основных средств в имуществе организации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0,2837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0,3697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0,3862</w:t>
            </w:r>
          </w:p>
        </w:tc>
        <w:tc>
          <w:tcPr>
            <w:tcW w:w="1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0,0860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0,0165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130,31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104,46</w:t>
            </w:r>
          </w:p>
        </w:tc>
      </w:tr>
      <w:tr w:rsidR="00534B10">
        <w:tc>
          <w:tcPr>
            <w:tcW w:w="2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Фондоотдача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5,6859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4,2241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4,5539</w:t>
            </w:r>
          </w:p>
        </w:tc>
        <w:tc>
          <w:tcPr>
            <w:tcW w:w="1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-1,4618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0,3298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74,29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B10" w:rsidRDefault="00534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107,81</w:t>
            </w:r>
          </w:p>
        </w:tc>
      </w:tr>
    </w:tbl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Как видно из таблицы коэффициент износа увеличивается в 2015г. на 0,0884 и достигает 0,6658, но в 2016г. он уже идет на спад на 0,1591. Соответственно коэффициент годности как показатель обратный коэффициенту износа уменьшается в 2015г. и растет в 2016г. на аналогичную величину.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2015г. происходит ускорение обновления на 0,2058, а в 2016г. этот показатель снова замедляется и достигает 0,1394. Темп роста данного показателя в 2015г. составил 308,72%. Также в 2016г. происходит резкий рост коэффициента интенсивности обновления с 0,8983 в 2005г. до 39,2589 в 2015г. Это происходит за счет того, что в 2015г. очень маленький показатель выбытия основных средств. Коэффициент реальной стоимости основных средств в имуществе организации имеет тенденцию к росту: так в 2015г. он увеличился на 0,086, а в 2016г. на 0,0165 и составил 0,3862. Рост данного коэффициента свидетельствует о росте эффективности использования средств для предпринимательской деятельности.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Как видно из таблицы,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фондоёмкость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в 2014 году - 0,17. Это означает, что стоимость основных производственных фондов, приходящихся на один рубль произведённой продукции, равна 17 копеек. В 2015 году эта величина выросла на 0,06 и составила 0,23, то есть стоимость основных производственных фондов, приходящихся на один рубль произведённой продукции, увеличилась на 6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копейки.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Снижение фондоотдачи и соответственно рост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фондоемкости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свидетельствует о снижении эффективности использования основных средств.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 итогам проведенного анализа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внеоборотных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активов «ГРАНИТ» выявлено, что у данного предприятия сильно изношены основные средства.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Большое влияние на величины фондоотдачи 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фондоёмкости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оказывает показатель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фондовооружённости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труда, который в 2014 году был равен 46,23 т.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руб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/чел. Отсюда видно, что на каждого работника предприятия приходится основных фондов на сумму 46,23 тыс. руб. В 2015 году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фондовооружённость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снизилась до 62,43 т.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руб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/чел. Этот показатель применяется для характеристики степени оснащённости труда работающих. Чем больше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фондовооружённость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тем больше объём производства и тем больше стоимость основных фондов. Из этого следует, что лучше всего работники предприятия были оснащены основными средствами в 2015 году.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Увеличение значений показателей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фондовооруженности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обусловлено увеличением стоимости основных средств в анализируемом году по сравнению с базисным. Значение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фондовооруженности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всех работающих выросло на 16,2 тыс. руб. 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целях обновление основных средств и улучшения показателей фондоотдачи предприятию рекомендуется воспользоваться одним из видов заемного капитала, например, взять банковский кредит.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Показатель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фондорентабельности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имеет тенденцию к росту: так в 2015г. он увеличился на 0,065 и составил 0,1141, а в 2016г. он вырос на 0,1381 и составил уже 0,2522. Рост данного показателя обусловлен ростом прибыли.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Так как в структуре основных средств наибольшую долю занимают машины и оборудование, то необходимо провести ряд мероприятий по улучшению по данной статье: предлагается провести группировку машин и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оборудования по срокам вводу в эксплуатацию и по длительности эксплуатации, затем проанализировать частоту выхода оборудования из строя, используя данную информацию можно по части машин и оборудования увеличить количество профилактических ремонтов, а также создать запас запчастей, которых чаще всего приходится заменять.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Данные мероприятия позволят сократить простои оборудования из-за поломки, а соответственно увеличат эффективность их работы.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.4 Оценка оборотных активов</w:t>
      </w:r>
    </w:p>
    <w:p w:rsidR="00534B10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34B10" w:rsidRPr="00994CA9" w:rsidRDefault="00534B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Финансовое состояние предприятия и его устойчивость в значительной мере находится в зависимости от того, каким имуществом обладает предприятие, в какие активы вложен основной капитал, и какой доход они ему приносят.</w:t>
      </w:r>
    </w:p>
    <w:p w:rsidR="00BA7EC1" w:rsidRPr="00BA7EC1" w:rsidRDefault="00CB3BD2" w:rsidP="00BA7EC1">
      <w:pPr>
        <w:jc w:val="center"/>
        <w:rPr>
          <w:rFonts w:ascii="Calibri" w:eastAsia="Calibri" w:hAnsi="Calibri"/>
          <w:lang w:eastAsia="en-US"/>
        </w:rPr>
      </w:pPr>
      <w:hyperlink r:id="rId18" w:history="1">
        <w:r w:rsidR="00A912CE" w:rsidRPr="00A912CE">
          <w:rPr>
            <w:rFonts w:ascii="Calibri" w:eastAsia="Calibri" w:hAnsi="Calibri"/>
            <w:b/>
            <w:color w:val="0563C1"/>
            <w:sz w:val="32"/>
            <w:szCs w:val="32"/>
            <w:u w:val="single"/>
            <w:lang w:eastAsia="en-US"/>
          </w:rPr>
          <w:t>Вернуться в каталог дипломов по менеджменту</w:t>
        </w:r>
      </w:hyperlink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3227"/>
        <w:gridCol w:w="6678"/>
      </w:tblGrid>
      <w:tr w:rsidR="00BA7EC1" w:rsidRPr="00BA7EC1" w:rsidTr="00BF6D2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EC1" w:rsidRPr="00BA7EC1" w:rsidRDefault="00BA7EC1" w:rsidP="00BA7EC1">
            <w:pPr>
              <w:spacing w:line="480" w:lineRule="auto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BA7EC1" w:rsidRPr="00BA7EC1" w:rsidRDefault="00BA7EC1" w:rsidP="00BA7EC1">
            <w:pPr>
              <w:spacing w:line="480" w:lineRule="auto"/>
              <w:jc w:val="center"/>
              <w:rPr>
                <w:rFonts w:eastAsia="Calibri" w:cstheme="minorBidi"/>
                <w:lang w:val="en-US"/>
              </w:rPr>
            </w:pPr>
            <w:hyperlink r:id="rId19" w:history="1">
              <w:r w:rsidRPr="00BA7EC1">
                <w:rPr>
                  <w:rFonts w:ascii="Arial Black" w:eastAsia="Calibri" w:hAnsi="Arial Black" w:cstheme="minorBidi"/>
                  <w:b/>
                  <w:color w:val="0000FF"/>
                  <w:sz w:val="28"/>
                  <w:szCs w:val="28"/>
                  <w:u w:val="single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C1" w:rsidRPr="00BA7EC1" w:rsidRDefault="00BA7EC1" w:rsidP="00BA7EC1">
            <w:pPr>
              <w:spacing w:line="480" w:lineRule="auto"/>
              <w:jc w:val="center"/>
              <w:rPr>
                <w:rFonts w:eastAsia="Calibri" w:cstheme="minorBidi"/>
                <w:lang w:val="en-US"/>
              </w:rPr>
            </w:pPr>
            <w:r w:rsidRPr="00BA7EC1">
              <w:rPr>
                <w:rFonts w:eastAsia="Calibri" w:cstheme="minorBidi"/>
                <w:noProof/>
              </w:rPr>
              <w:drawing>
                <wp:inline distT="0" distB="0" distL="0" distR="0" wp14:anchorId="53599BFD" wp14:editId="2FC22615">
                  <wp:extent cx="3784600" cy="1257300"/>
                  <wp:effectExtent l="0" t="0" r="6350" b="0"/>
                  <wp:docPr id="1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7EC1" w:rsidRPr="00BA7EC1" w:rsidRDefault="00BA7EC1" w:rsidP="00BA7EC1">
      <w:pPr>
        <w:spacing w:line="480" w:lineRule="auto"/>
        <w:jc w:val="center"/>
        <w:rPr>
          <w:rFonts w:ascii="Arial Black" w:eastAsia="Calibri" w:hAnsi="Arial Black"/>
          <w:b/>
          <w:sz w:val="16"/>
          <w:szCs w:val="16"/>
          <w:lang w:eastAsia="en-US"/>
        </w:rPr>
      </w:pP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4952"/>
        <w:gridCol w:w="4953"/>
      </w:tblGrid>
      <w:tr w:rsidR="00BA7EC1" w:rsidRPr="00BA7EC1" w:rsidTr="00BF6D22"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EC1" w:rsidRPr="00BA7EC1" w:rsidRDefault="00BA7EC1" w:rsidP="00BA7EC1">
            <w:pPr>
              <w:spacing w:line="480" w:lineRule="auto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BA7EC1" w:rsidRPr="00BA7EC1" w:rsidRDefault="00BA7EC1" w:rsidP="00BA7EC1">
            <w:pPr>
              <w:spacing w:line="480" w:lineRule="auto"/>
              <w:jc w:val="center"/>
              <w:rPr>
                <w:rFonts w:eastAsia="Calibri" w:cstheme="minorBidi"/>
              </w:rPr>
            </w:pPr>
            <w:hyperlink r:id="rId21" w:history="1">
              <w:r w:rsidRPr="00BA7EC1">
                <w:rPr>
                  <w:rFonts w:ascii="Arial Black" w:eastAsia="Calibri" w:hAnsi="Arial Black" w:cstheme="minorBidi"/>
                  <w:b/>
                  <w:color w:val="0000FF"/>
                  <w:sz w:val="28"/>
                  <w:szCs w:val="28"/>
                  <w:u w:val="single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C1" w:rsidRPr="00BA7EC1" w:rsidRDefault="00BA7EC1" w:rsidP="00BA7EC1">
            <w:pPr>
              <w:spacing w:line="480" w:lineRule="auto"/>
              <w:jc w:val="center"/>
              <w:rPr>
                <w:rFonts w:eastAsia="Calibri" w:cstheme="minorBidi"/>
              </w:rPr>
            </w:pPr>
            <w:r w:rsidRPr="00BA7EC1">
              <w:rPr>
                <w:rFonts w:eastAsia="Calibri" w:cstheme="minorBidi"/>
                <w:noProof/>
              </w:rPr>
              <w:drawing>
                <wp:inline distT="0" distB="0" distL="0" distR="0" wp14:anchorId="463BC00E" wp14:editId="7D43BD69">
                  <wp:extent cx="2184400" cy="1962150"/>
                  <wp:effectExtent l="0" t="0" r="6350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7EC1" w:rsidRPr="00BA7EC1" w:rsidRDefault="00BA7EC1" w:rsidP="00BA7EC1">
      <w:pPr>
        <w:spacing w:line="480" w:lineRule="auto"/>
        <w:jc w:val="center"/>
        <w:rPr>
          <w:rFonts w:ascii="Calibri" w:eastAsia="Calibri" w:hAnsi="Calibri"/>
          <w:sz w:val="16"/>
          <w:szCs w:val="16"/>
          <w:lang w:eastAsia="en-US"/>
        </w:rPr>
      </w:pPr>
    </w:p>
    <w:tbl>
      <w:tblPr>
        <w:tblStyle w:val="2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4219"/>
        <w:gridCol w:w="4111"/>
      </w:tblGrid>
      <w:tr w:rsidR="00BA7EC1" w:rsidRPr="00BA7EC1" w:rsidTr="00BF6D22">
        <w:trPr>
          <w:jc w:val="center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EC1" w:rsidRPr="00BA7EC1" w:rsidRDefault="00BA7EC1" w:rsidP="00BA7EC1">
            <w:pPr>
              <w:spacing w:line="480" w:lineRule="auto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BA7EC1" w:rsidRPr="00BA7EC1" w:rsidRDefault="00BA7EC1" w:rsidP="00BA7EC1">
            <w:pPr>
              <w:spacing w:line="480" w:lineRule="auto"/>
              <w:jc w:val="center"/>
              <w:rPr>
                <w:rFonts w:ascii="Arial Black" w:eastAsia="Calibri" w:hAnsi="Arial Black" w:cs="Arial"/>
                <w:b/>
                <w:sz w:val="28"/>
                <w:szCs w:val="28"/>
              </w:rPr>
            </w:pPr>
            <w:hyperlink r:id="rId23" w:history="1">
              <w:r w:rsidRPr="00BA7EC1">
                <w:rPr>
                  <w:rFonts w:ascii="Arial Black" w:eastAsia="Calibri" w:hAnsi="Arial Black" w:cstheme="minorBidi"/>
                  <w:b/>
                  <w:color w:val="0000FF"/>
                  <w:sz w:val="28"/>
                  <w:szCs w:val="28"/>
                  <w:u w:val="single"/>
                </w:rPr>
                <w:t>АУДИОЛЕКЦИИ</w:t>
              </w:r>
            </w:hyperlink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C1" w:rsidRPr="00BA7EC1" w:rsidRDefault="00BA7EC1" w:rsidP="00BA7EC1">
            <w:pPr>
              <w:spacing w:line="480" w:lineRule="auto"/>
              <w:jc w:val="center"/>
              <w:rPr>
                <w:rFonts w:ascii="Arial Black" w:eastAsia="Calibri" w:hAnsi="Arial Black" w:cs="Arial"/>
                <w:b/>
                <w:sz w:val="28"/>
                <w:szCs w:val="28"/>
              </w:rPr>
            </w:pPr>
            <w:r w:rsidRPr="00BA7EC1">
              <w:rPr>
                <w:rFonts w:eastAsia="Calibri" w:cstheme="minorBidi"/>
                <w:noProof/>
              </w:rPr>
              <w:drawing>
                <wp:inline distT="0" distB="0" distL="0" distR="0" wp14:anchorId="2AC66DAA" wp14:editId="1969EAA7">
                  <wp:extent cx="1600200" cy="1600200"/>
                  <wp:effectExtent l="0" t="0" r="0" b="0"/>
                  <wp:docPr id="1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7EC1" w:rsidRPr="00BA7EC1" w:rsidRDefault="00BA7EC1" w:rsidP="00BA7EC1">
      <w:pPr>
        <w:spacing w:line="480" w:lineRule="auto"/>
        <w:jc w:val="center"/>
        <w:rPr>
          <w:rFonts w:ascii="Arial Black" w:eastAsia="Calibri" w:hAnsi="Arial Black" w:cs="Arial"/>
          <w:b/>
          <w:sz w:val="16"/>
          <w:szCs w:val="16"/>
          <w:lang w:val="en-US" w:eastAsia="en-US"/>
        </w:rPr>
      </w:pP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3652"/>
        <w:gridCol w:w="6253"/>
      </w:tblGrid>
      <w:tr w:rsidR="00BA7EC1" w:rsidRPr="00BA7EC1" w:rsidTr="00BF6D22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EC1" w:rsidRPr="00BA7EC1" w:rsidRDefault="00BA7EC1" w:rsidP="00BA7EC1">
            <w:pPr>
              <w:spacing w:line="480" w:lineRule="auto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BA7EC1" w:rsidRPr="00BA7EC1" w:rsidRDefault="00BA7EC1" w:rsidP="00BA7EC1">
            <w:pPr>
              <w:spacing w:line="480" w:lineRule="auto"/>
              <w:jc w:val="center"/>
              <w:rPr>
                <w:rFonts w:eastAsia="Calibri" w:cstheme="minorBidi"/>
                <w:lang w:val="en-US"/>
              </w:rPr>
            </w:pPr>
            <w:hyperlink r:id="rId25" w:history="1">
              <w:r w:rsidRPr="00BA7EC1">
                <w:rPr>
                  <w:rFonts w:ascii="Arial Black" w:eastAsia="Calibri" w:hAnsi="Arial Black" w:cs="Arial"/>
                  <w:b/>
                  <w:color w:val="0000FF"/>
                  <w:sz w:val="28"/>
                  <w:szCs w:val="28"/>
                  <w:u w:val="single"/>
                  <w:lang w:val="en-US"/>
                </w:rPr>
                <w:t>IT-</w:t>
              </w:r>
              <w:proofErr w:type="spellStart"/>
              <w:r w:rsidRPr="00BA7EC1">
                <w:rPr>
                  <w:rFonts w:ascii="Arial Black" w:eastAsia="Calibri" w:hAnsi="Arial Black" w:cs="Arial"/>
                  <w:b/>
                  <w:color w:val="0000FF"/>
                  <w:sz w:val="28"/>
                  <w:szCs w:val="28"/>
                  <w:u w:val="single"/>
                  <w:lang w:val="en-US"/>
                </w:rPr>
                <w:t>специалисты</w:t>
              </w:r>
              <w:proofErr w:type="spellEnd"/>
              <w:r w:rsidRPr="00BA7EC1">
                <w:rPr>
                  <w:rFonts w:ascii="Arial Black" w:eastAsia="Calibri" w:hAnsi="Arial Black" w:cs="Arial"/>
                  <w:b/>
                  <w:color w:val="0000FF"/>
                  <w:sz w:val="28"/>
                  <w:szCs w:val="28"/>
                  <w:u w:val="single"/>
                  <w:lang w:val="en-US"/>
                </w:rPr>
                <w:t>: ПОВЫШЕНИЕ КВАЛИФИКАЦИИ</w:t>
              </w:r>
            </w:hyperlink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C1" w:rsidRPr="00BA7EC1" w:rsidRDefault="00BA7EC1" w:rsidP="00BA7EC1">
            <w:pPr>
              <w:spacing w:line="480" w:lineRule="auto"/>
              <w:jc w:val="center"/>
              <w:rPr>
                <w:rFonts w:eastAsia="Calibri" w:cstheme="minorBidi"/>
                <w:lang w:val="en-US"/>
              </w:rPr>
            </w:pPr>
            <w:r w:rsidRPr="00BA7EC1">
              <w:rPr>
                <w:rFonts w:eastAsia="Calibri" w:cstheme="minorBidi"/>
                <w:noProof/>
              </w:rPr>
              <w:drawing>
                <wp:inline distT="0" distB="0" distL="0" distR="0" wp14:anchorId="0F5BBE9F" wp14:editId="4DAC84D8">
                  <wp:extent cx="3752850" cy="1841500"/>
                  <wp:effectExtent l="0" t="0" r="0" b="6350"/>
                  <wp:docPr id="1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7EC1" w:rsidRPr="00BA7EC1" w:rsidRDefault="00BA7EC1" w:rsidP="00BA7EC1">
      <w:pPr>
        <w:rPr>
          <w:rFonts w:ascii="Calibri" w:eastAsia="Calibri" w:hAnsi="Calibri"/>
          <w:lang w:eastAsia="en-US"/>
        </w:rPr>
      </w:pP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3936"/>
        <w:gridCol w:w="5969"/>
      </w:tblGrid>
      <w:tr w:rsidR="00BA7EC1" w:rsidRPr="00BA7EC1" w:rsidTr="00BF6D2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EC1" w:rsidRPr="00BA7EC1" w:rsidRDefault="00BA7EC1" w:rsidP="00BA7EC1">
            <w:pPr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BA7EC1" w:rsidRPr="00BA7EC1" w:rsidRDefault="00BA7EC1" w:rsidP="00BA7EC1">
            <w:pPr>
              <w:jc w:val="center"/>
              <w:rPr>
                <w:rFonts w:eastAsia="Calibri" w:cstheme="minorBidi"/>
              </w:rPr>
            </w:pPr>
            <w:hyperlink r:id="rId27" w:history="1">
              <w:r w:rsidRPr="00BA7EC1">
                <w:rPr>
                  <w:rFonts w:ascii="Arial Black" w:eastAsia="Calibri" w:hAnsi="Arial Black" w:cstheme="minorBidi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ФИТНЕС </w:t>
              </w:r>
              <w:proofErr w:type="spellStart"/>
              <w:r w:rsidRPr="00BA7EC1">
                <w:rPr>
                  <w:rFonts w:ascii="Arial Black" w:eastAsia="Calibri" w:hAnsi="Arial Black" w:cstheme="minorBidi"/>
                  <w:b/>
                  <w:color w:val="0000FF"/>
                  <w:sz w:val="28"/>
                  <w:szCs w:val="28"/>
                  <w:u w:val="single"/>
                  <w:lang w:val="en-US"/>
                </w:rPr>
                <w:t>на</w:t>
              </w:r>
              <w:proofErr w:type="spellEnd"/>
              <w:r w:rsidRPr="00BA7EC1">
                <w:rPr>
                  <w:rFonts w:ascii="Arial Black" w:eastAsia="Calibri" w:hAnsi="Arial Black" w:cstheme="minorBidi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 ДОМУ</w:t>
              </w:r>
            </w:hyperlink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C1" w:rsidRPr="00BA7EC1" w:rsidRDefault="00BA7EC1" w:rsidP="00BA7EC1">
            <w:pPr>
              <w:jc w:val="center"/>
              <w:rPr>
                <w:rFonts w:eastAsia="Calibri" w:cstheme="minorBidi"/>
              </w:rPr>
            </w:pPr>
            <w:r w:rsidRPr="00BA7EC1">
              <w:rPr>
                <w:rFonts w:eastAsia="Calibri" w:cstheme="minorBidi"/>
                <w:noProof/>
              </w:rPr>
              <w:drawing>
                <wp:inline distT="0" distB="0" distL="0" distR="0" wp14:anchorId="6E713D50" wp14:editId="094A2705">
                  <wp:extent cx="2806700" cy="1873250"/>
                  <wp:effectExtent l="0" t="0" r="0" b="0"/>
                  <wp:docPr id="1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12CE" w:rsidRPr="00A912CE" w:rsidRDefault="00A912CE" w:rsidP="00A912CE">
      <w:pPr>
        <w:rPr>
          <w:rFonts w:eastAsiaTheme="minorHAnsi" w:cstheme="minorBidi"/>
          <w:b/>
          <w:sz w:val="32"/>
          <w:szCs w:val="32"/>
          <w:lang w:eastAsia="en-US"/>
        </w:rPr>
      </w:pPr>
      <w:bookmarkStart w:id="0" w:name="_GoBack"/>
      <w:bookmarkEnd w:id="0"/>
    </w:p>
    <w:sectPr w:rsidR="00A912CE" w:rsidRPr="00A912CE">
      <w:headerReference w:type="default" r:id="rId29"/>
      <w:footerReference w:type="default" r:id="rId30"/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3BD2" w:rsidRDefault="00CB3BD2" w:rsidP="00623625">
      <w:pPr>
        <w:spacing w:after="0" w:line="240" w:lineRule="auto"/>
      </w:pPr>
      <w:r>
        <w:separator/>
      </w:r>
    </w:p>
  </w:endnote>
  <w:endnote w:type="continuationSeparator" w:id="0">
    <w:p w:rsidR="00CB3BD2" w:rsidRDefault="00CB3BD2" w:rsidP="006236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625" w:rsidRDefault="00623625" w:rsidP="00623625">
    <w:pPr>
      <w:pStyle w:val="a5"/>
    </w:pPr>
    <w:r>
      <w:t xml:space="preserve">Вернуться в каталог готовых дипломов и магистерских диссертаций </w:t>
    </w:r>
  </w:p>
  <w:p w:rsidR="00623625" w:rsidRDefault="00623625" w:rsidP="00623625">
    <w:pPr>
      <w:pStyle w:val="a5"/>
    </w:pPr>
    <w:r>
      <w:t>http://учебники.информ2000.рф/diplom.shtml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3BD2" w:rsidRDefault="00CB3BD2" w:rsidP="00623625">
      <w:pPr>
        <w:spacing w:after="0" w:line="240" w:lineRule="auto"/>
      </w:pPr>
      <w:r>
        <w:separator/>
      </w:r>
    </w:p>
  </w:footnote>
  <w:footnote w:type="continuationSeparator" w:id="0">
    <w:p w:rsidR="00CB3BD2" w:rsidRDefault="00CB3BD2" w:rsidP="006236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281" w:rsidRDefault="00F91281" w:rsidP="00F91281">
    <w:pPr>
      <w:pStyle w:val="a3"/>
    </w:pPr>
    <w:r>
      <w:t>Узнайте стоимость написания на заказ студенческих и аспирантских работ</w:t>
    </w:r>
  </w:p>
  <w:p w:rsidR="00623625" w:rsidRDefault="00F91281" w:rsidP="00F91281">
    <w:pPr>
      <w:pStyle w:val="a3"/>
    </w:pPr>
    <w:r>
      <w:t>http://учебники.информ2000.рф/napisat-diplom.shtml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08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382"/>
    <w:rsid w:val="003E4B42"/>
    <w:rsid w:val="00534B10"/>
    <w:rsid w:val="00623625"/>
    <w:rsid w:val="007A4186"/>
    <w:rsid w:val="00994CA9"/>
    <w:rsid w:val="009E4382"/>
    <w:rsid w:val="00A912CE"/>
    <w:rsid w:val="00BA7EC1"/>
    <w:rsid w:val="00CB3BD2"/>
    <w:rsid w:val="00E6196F"/>
    <w:rsid w:val="00F91281"/>
    <w:rsid w:val="00FD6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E438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E4382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6236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23625"/>
  </w:style>
  <w:style w:type="paragraph" w:styleId="a5">
    <w:name w:val="footer"/>
    <w:basedOn w:val="a"/>
    <w:link w:val="a6"/>
    <w:uiPriority w:val="99"/>
    <w:unhideWhenUsed/>
    <w:rsid w:val="006236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23625"/>
  </w:style>
  <w:style w:type="paragraph" w:styleId="a7">
    <w:name w:val="Balloon Text"/>
    <w:basedOn w:val="a"/>
    <w:link w:val="a8"/>
    <w:uiPriority w:val="99"/>
    <w:semiHidden/>
    <w:unhideWhenUsed/>
    <w:rsid w:val="00F91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1281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uiPriority w:val="59"/>
    <w:rsid w:val="00BA7EC1"/>
    <w:pPr>
      <w:spacing w:after="0" w:line="240" w:lineRule="auto"/>
    </w:pPr>
    <w:rPr>
      <w:rFonts w:ascii="Calibri" w:eastAsia="Times New Roman" w:hAnsi="Calibr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E438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E4382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6236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23625"/>
  </w:style>
  <w:style w:type="paragraph" w:styleId="a5">
    <w:name w:val="footer"/>
    <w:basedOn w:val="a"/>
    <w:link w:val="a6"/>
    <w:uiPriority w:val="99"/>
    <w:unhideWhenUsed/>
    <w:rsid w:val="006236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23625"/>
  </w:style>
  <w:style w:type="paragraph" w:styleId="a7">
    <w:name w:val="Balloon Text"/>
    <w:basedOn w:val="a"/>
    <w:link w:val="a8"/>
    <w:uiPriority w:val="99"/>
    <w:semiHidden/>
    <w:unhideWhenUsed/>
    <w:rsid w:val="00F91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1281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uiPriority w:val="59"/>
    <w:rsid w:val="00BA7EC1"/>
    <w:pPr>
      <w:spacing w:after="0" w:line="240" w:lineRule="auto"/>
    </w:pPr>
    <w:rPr>
      <w:rFonts w:ascii="Calibri" w:eastAsia="Times New Roman" w:hAnsi="Calibr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5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wmf"/><Relationship Id="rId18" Type="http://schemas.openxmlformats.org/officeDocument/2006/relationships/hyperlink" Target="http://&#1091;&#1095;&#1077;&#1073;&#1085;&#1080;&#1082;&#1080;.&#1080;&#1085;&#1092;&#1086;&#1088;&#1084;2000.&#1088;&#1092;/management3/management3.shtml" TargetMode="External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://&#1091;&#1095;&#1077;&#1073;&#1085;&#1080;&#1082;&#1080;.&#1080;&#1085;&#1092;&#1086;&#1088;&#1084;2000.&#1088;&#1092;/kar.shtml" TargetMode="External"/><Relationship Id="rId7" Type="http://schemas.openxmlformats.org/officeDocument/2006/relationships/hyperlink" Target="http://&#1091;&#1095;&#1077;&#1073;&#1085;&#1080;&#1082;&#1080;.&#1080;&#1085;&#1092;&#1086;&#1088;&#1084;2000.&#1088;&#1092;/management3/management3.shtml" TargetMode="Externa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hyperlink" Target="http://&#1091;&#1095;&#1077;&#1073;&#1085;&#1080;&#1082;&#1080;.&#1080;&#1085;&#1092;&#1086;&#1088;&#1084;2000.&#1088;&#1092;/otu.shtml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9.wmf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hyperlink" Target="http://&#1091;&#1095;&#1077;&#1073;&#1085;&#1080;&#1082;&#1080;.&#1080;&#1085;&#1092;&#1086;&#1088;&#1084;2000.&#1088;&#1092;/lectr.shtml" TargetMode="External"/><Relationship Id="rId28" Type="http://schemas.openxmlformats.org/officeDocument/2006/relationships/image" Target="media/image15.png"/><Relationship Id="rId10" Type="http://schemas.openxmlformats.org/officeDocument/2006/relationships/image" Target="media/image3.wmf"/><Relationship Id="rId19" Type="http://schemas.openxmlformats.org/officeDocument/2006/relationships/hyperlink" Target="http://&#1091;&#1095;&#1077;&#1073;&#1085;&#1080;&#1082;&#1080;.&#1080;&#1085;&#1092;&#1086;&#1088;&#1084;2000.&#1088;&#1092;/chitai.shtml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image" Target="media/image12.png"/><Relationship Id="rId27" Type="http://schemas.openxmlformats.org/officeDocument/2006/relationships/hyperlink" Target="http://&#1091;&#1095;&#1077;&#1073;&#1085;&#1080;&#1082;&#1080;.&#1080;&#1085;&#1092;&#1086;&#1088;&#1084;2000.&#1088;&#1092;/fit1.shtml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43</Pages>
  <Words>9812</Words>
  <Characters>55929</Characters>
  <Application>Microsoft Office Word</Application>
  <DocSecurity>0</DocSecurity>
  <Lines>466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12</cp:revision>
  <dcterms:created xsi:type="dcterms:W3CDTF">2018-06-22T06:05:00Z</dcterms:created>
  <dcterms:modified xsi:type="dcterms:W3CDTF">2023-05-12T04:42:00Z</dcterms:modified>
</cp:coreProperties>
</file>